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FB918" w14:textId="77777777" w:rsidR="00645466" w:rsidRPr="00645466" w:rsidRDefault="00645466" w:rsidP="00645466">
      <w:pPr>
        <w:spacing w:after="0" w:line="240" w:lineRule="auto"/>
        <w:rPr>
          <w:b/>
          <w:sz w:val="28"/>
        </w:rPr>
      </w:pPr>
      <w:r>
        <w:rPr>
          <w:noProof/>
          <w:sz w:val="6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2828A6" wp14:editId="4AAC281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31662" cy="348018"/>
                <wp:effectExtent l="0" t="0" r="21590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662" cy="348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9CA2B" w14:textId="77777777" w:rsidR="00645466" w:rsidRPr="003F1D97" w:rsidRDefault="00645466" w:rsidP="006454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F1D97">
                              <w:rPr>
                                <w:b/>
                                <w:sz w:val="28"/>
                              </w:rPr>
                              <w:fldChar w:fldCharType="begin"/>
                            </w:r>
                            <w:r w:rsidRPr="003F1D97">
                              <w:rPr>
                                <w:b/>
                                <w:sz w:val="28"/>
                              </w:rPr>
                              <w:instrText xml:space="preserve"> DOCPROPERTY  Pillar  \* MERGEFORMAT </w:instrText>
                            </w:r>
                            <w:r w:rsidRPr="003F1D97">
                              <w:rPr>
                                <w:b/>
                                <w:sz w:val="28"/>
                              </w:rPr>
                              <w:fldChar w:fldCharType="separate"/>
                            </w:r>
                            <w:r w:rsidR="006A509F">
                              <w:rPr>
                                <w:b/>
                                <w:sz w:val="28"/>
                              </w:rPr>
                              <w:t>Enrolment</w:t>
                            </w:r>
                            <w:r w:rsidRPr="003F1D97">
                              <w:rPr>
                                <w:b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28A6" id="Rectangle 3" o:spid="_x0000_s1026" style="position:absolute;margin-left:0;margin-top:-.05pt;width:451.3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QcHdwIAAEQFAAAOAAAAZHJzL2Uyb0RvYy54bWysVNtu2zAMfR+wfxD0vthO0ltQpwhSdBhQ&#10;tEXboc+KLMUGdBulxM6+fpTsuEVXbMAwP8iUSB6SR6QurzqtyF6Ab6wpaTHJKRGG26ox25J+f775&#10;ck6JD8xUTFkjSnoQnl4tP3+6bN1CTG1tVSWAIIjxi9aVtA7BLbLM81po5ifWCYNKaUGzgFvYZhWw&#10;FtG1yqZ5fpq1FioHlgvv8fS6V9JlwpdS8HAvpReBqJJibiGtkNZNXLPlJVtsgbm64UMa7B+y0Kwx&#10;GHSEumaBkR00v0HphoP1VoYJtzqzUjZcpBqwmiJ/V81TzZxItSA53o00+f8Hy+/2D0CaqqQzSgzT&#10;eEWPSBozWyXILNLTOr9Aqyf3AMPOoxhr7STo+McqSJcoPYyUii4QjocnZ7Pi9HRKCUfdbH6eF+cR&#10;NHv1duDDV2E1iUJJAaMnJtn+1ofe9GiCfjGbPn6SwkGJmIIyj0JiGRhxmrxTA4m1ArJnePWMc2HC&#10;rFfVrBL98UmO35DP6JGyS4ARWTZKjdjFn7D7XAf76CpS/43O+d+dR48U2ZowOuvGWPgIQIViKED2&#10;9keSemoiS6HbdMPVbWx1wPsG2w+Cd/ymQdpvmQ8PDLDzcUZwmsM9LlLZtqR2kCipLfz86DzaY0Oi&#10;lpIWJ6mk/seOgaBEfTPYqhfFfB5HL23mJ2dT3MBbzeatxuz02uKNFfhuOJ7EaB/UUZRg9QsO/SpG&#10;RRUzHGOXlAc4btahn3B8NrhYrZIZjptj4dY8OR7BI8GxrZ67FwZu6L2AXXtnj1PHFu9asLeNnsau&#10;dsHKJvVnpLjndaAeRzX10PCsxLfg7T5ZvT5+y18AAAD//wMAUEsDBBQABgAIAAAAIQC0kWo13QAA&#10;AAUBAAAPAAAAZHJzL2Rvd25yZXYueG1sTI/BTsMwEETvSPyDtUhcUOs0CikJ2VQICcQNUTi0NzdZ&#10;7EC8jmI3Tf8ec4LjaEYzb6rNbHsx0eg7xwirZQKCuHFtxxrh4/1pcQfCB8Wt6h0Twpk8bOrLi0qV&#10;rTvxG03boEUsYV8qBBPCUErpG0NW+aUbiKP36UarQpSjlu2oTrHc9jJNklxa1XFcMGqgR0PN9/Zo&#10;EYrsNWT5WX+lu+dpf6OLF2+GHeL11fxwDyLQHP7C8Isf0aGOTAd35NaLHiEeCQiLFYhoFkmagzgg&#10;3GZrkHUl/9PXPwAAAP//AwBQSwECLQAUAAYACAAAACEAtoM4kv4AAADhAQAAEwAAAAAAAAAAAAAA&#10;AAAAAAAAW0NvbnRlbnRfVHlwZXNdLnhtbFBLAQItABQABgAIAAAAIQA4/SH/1gAAAJQBAAALAAAA&#10;AAAAAAAAAAAAAC8BAABfcmVscy8ucmVsc1BLAQItABQABgAIAAAAIQBmWQcHdwIAAEQFAAAOAAAA&#10;AAAAAAAAAAAAAC4CAABkcnMvZTJvRG9jLnhtbFBLAQItABQABgAIAAAAIQC0kWo13QAAAAUBAAAP&#10;AAAAAAAAAAAAAAAAANEEAABkcnMvZG93bnJldi54bWxQSwUGAAAAAAQABADzAAAA2wUAAAAA&#10;" fillcolor="#a5a5a5 [3206]" strokecolor="#525252 [1606]" strokeweight="1pt">
                <v:textbox>
                  <w:txbxContent>
                    <w:p w14:paraId="2D69CA2B" w14:textId="77777777" w:rsidR="00645466" w:rsidRPr="003F1D97" w:rsidRDefault="00645466" w:rsidP="00645466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3F1D97">
                        <w:rPr>
                          <w:b/>
                          <w:sz w:val="28"/>
                        </w:rPr>
                        <w:fldChar w:fldCharType="begin"/>
                      </w:r>
                      <w:r w:rsidRPr="003F1D97">
                        <w:rPr>
                          <w:b/>
                          <w:sz w:val="28"/>
                        </w:rPr>
                        <w:instrText xml:space="preserve"> DOCPROPERTY  Pillar  \* MERGEFORMAT </w:instrText>
                      </w:r>
                      <w:r w:rsidRPr="003F1D97">
                        <w:rPr>
                          <w:b/>
                          <w:sz w:val="28"/>
                        </w:rPr>
                        <w:fldChar w:fldCharType="separate"/>
                      </w:r>
                      <w:r w:rsidR="006A509F">
                        <w:rPr>
                          <w:b/>
                          <w:sz w:val="28"/>
                        </w:rPr>
                        <w:t>Enrolment</w:t>
                      </w:r>
                      <w:r w:rsidRPr="003F1D97">
                        <w:rPr>
                          <w:b/>
                          <w:sz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DCC288" w14:textId="77777777" w:rsidR="00645466" w:rsidRDefault="00645466" w:rsidP="005D18D1">
      <w:pPr>
        <w:rPr>
          <w:sz w:val="6"/>
        </w:rPr>
      </w:pPr>
    </w:p>
    <w:p w14:paraId="291FBC24" w14:textId="77777777" w:rsidR="005D18D1" w:rsidRPr="005D18D1" w:rsidRDefault="005D18D1" w:rsidP="005D18D1">
      <w:pPr>
        <w:rPr>
          <w:sz w:val="6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A041E" wp14:editId="4ECCDAF9">
                <wp:simplePos x="0" y="0"/>
                <wp:positionH relativeFrom="margin">
                  <wp:align>left</wp:align>
                </wp:positionH>
                <wp:positionV relativeFrom="paragraph">
                  <wp:posOffset>8994</wp:posOffset>
                </wp:positionV>
                <wp:extent cx="4264925" cy="348018"/>
                <wp:effectExtent l="0" t="0" r="40640" b="13970"/>
                <wp:wrapTopAndBottom/>
                <wp:docPr id="1" name="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925" cy="348018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00AAF" w14:textId="77777777" w:rsidR="005D18D1" w:rsidRPr="005D18D1" w:rsidRDefault="005D18D1" w:rsidP="005D18D1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D18D1">
                              <w:rPr>
                                <w:b/>
                                <w:sz w:val="28"/>
                              </w:rPr>
                              <w:fldChar w:fldCharType="begin"/>
                            </w:r>
                            <w:r w:rsidRPr="005D18D1">
                              <w:rPr>
                                <w:b/>
                                <w:sz w:val="28"/>
                              </w:rPr>
                              <w:instrText xml:space="preserve"> DOCPROPERTY  SectionTitle  \* MERGEFORMAT </w:instrText>
                            </w:r>
                            <w:r w:rsidRPr="005D18D1">
                              <w:rPr>
                                <w:b/>
                                <w:sz w:val="28"/>
                              </w:rPr>
                              <w:fldChar w:fldCharType="separate"/>
                            </w:r>
                            <w:r w:rsidR="00547071">
                              <w:rPr>
                                <w:b/>
                                <w:sz w:val="28"/>
                              </w:rPr>
                              <w:t>E4 Refunds and Cancellation</w:t>
                            </w:r>
                            <w:r w:rsidRPr="005D18D1">
                              <w:rPr>
                                <w:b/>
                                <w:sz w:val="28"/>
                              </w:rPr>
                              <w:fldChar w:fldCharType="end"/>
                            </w:r>
                          </w:p>
                          <w:p w14:paraId="4816AE12" w14:textId="77777777" w:rsidR="005D18D1" w:rsidRDefault="005D18D1" w:rsidP="005D18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A041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" o:spid="_x0000_s1027" type="#_x0000_t15" style="position:absolute;margin-left:0;margin-top:.7pt;width:335.8pt;height:27.4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ROfAIAAE8FAAAOAAAAZHJzL2Uyb0RvYy54bWysVF9P2zAQf5+072D5fSTtCoOKFFUgpkmI&#10;VYOJ56tjN5Fsn2e7Tcun39lJAxpoD9Py4Nz57n7335dXe6PZTvrQoq345KTkTFqBdWs3Ff/5ePvp&#10;nLMQwdag0cqKH2TgV4uPHy47N5dTbFDX0jMCsWHeuYo3Mbp5UQTRSAPhBJ20JFToDURi/aaoPXSE&#10;bnQxLcuzokNfO49ChkC3N72QLzK+UlLE70oFGZmuOMUW8+nzuU5nsbiE+caDa1oxhAH/EIWB1pLT&#10;EeoGIrCtb99AmVZ4DKjiiUBToFKtkDkHymZS/pHNQwNO5lyoOMGNZQr/D1bc71aetTX1jjMLhlq0&#10;kjbCBi2bpOp0LsxJ6cGt/MAFIlOqe+VN+lMSbJ8rehgrKveRCbqcTc9mF9NTzgTJPs/Oy8l5Ai1e&#10;rJ0P8atEwxJBeaGRKw0xpQ1z2N2F2Osf9cg4hdQHkal40DIpa/tDKkqF3E6zdR4iea092wG1H4Sg&#10;zCa9qIFa9tenJX1DUKNFDjEDJmTVaj1iDwBpQN9i97EO+slU5hkcjcu/BdYbjxbZM9o4GpvWon8P&#10;QFNWg+de/1ikvjSpSnG/3g9tJs10s8b6QK332O9EcOK2pRbcQYgr8LQEtC602PE7HUpjV3EcKM4a&#10;9M/v3Sf91EP/zFlHS1Xx8GsLXnKmv1ma2ovJbJa2MDOz0y9TYvxryfq1xG7NNVLjaDIpukwm/aiP&#10;pPJonmj/l8kricAK8l1xEf2RuY79stMLIuRymdVo8xzEO/vgRAJPdU7T9bh/Au+GOYw0wfd4XMA3&#10;k9jrJkuLy21E1eYxfanr0AHa2jxKwwuTnoXXfNZ6eQcXvwEAAP//AwBQSwMEFAAGAAgAAAAhAIMf&#10;qMncAAAABQEAAA8AAABkcnMvZG93bnJldi54bWxMj8FOwzAQRO9I/IO1SFwQdVpBSkOcCiFA4gJq&#10;Su/beElS4nUUO234e5YTHHdmNPM2X0+uU0caQuvZwHyWgCKuvG25NvCxfb6+AxUissXOMxn4pgDr&#10;4vwsx8z6E2/oWMZaSQmHDA00MfaZ1qFqyGGY+Z5YvE8/OIxyDrW2A56k3HV6kSSpdtiyLDTY02ND&#10;1Vc5OgPl5tUvr9r36uVpF1d40G9bfRiNubyYHu5BRZriXxh+8QUdCmHa+5FtUJ0BeSSKegNKzHQ5&#10;T0HtDdymC9BFrv/TFz8AAAD//wMAUEsBAi0AFAAGAAgAAAAhALaDOJL+AAAA4QEAABMAAAAAAAAA&#10;AAAAAAAAAAAAAFtDb250ZW50X1R5cGVzXS54bWxQSwECLQAUAAYACAAAACEAOP0h/9YAAACUAQAA&#10;CwAAAAAAAAAAAAAAAAAvAQAAX3JlbHMvLnJlbHNQSwECLQAUAAYACAAAACEAUGIUTnwCAABPBQAA&#10;DgAAAAAAAAAAAAAAAAAuAgAAZHJzL2Uyb0RvYy54bWxQSwECLQAUAAYACAAAACEAgx+oydwAAAAF&#10;AQAADwAAAAAAAAAAAAAAAADWBAAAZHJzL2Rvd25yZXYueG1sUEsFBgAAAAAEAAQA8wAAAN8FAAAA&#10;AA==&#10;" adj="20719" fillcolor="#5b9bd5 [3204]" strokecolor="#1f4d78 [1604]" strokeweight="1pt">
                <v:textbox>
                  <w:txbxContent>
                    <w:p w14:paraId="42300AAF" w14:textId="77777777" w:rsidR="005D18D1" w:rsidRPr="005D18D1" w:rsidRDefault="005D18D1" w:rsidP="005D18D1">
                      <w:pPr>
                        <w:rPr>
                          <w:b/>
                          <w:sz w:val="28"/>
                        </w:rPr>
                      </w:pPr>
                      <w:r w:rsidRPr="005D18D1">
                        <w:rPr>
                          <w:b/>
                          <w:sz w:val="28"/>
                        </w:rPr>
                        <w:fldChar w:fldCharType="begin"/>
                      </w:r>
                      <w:r w:rsidRPr="005D18D1">
                        <w:rPr>
                          <w:b/>
                          <w:sz w:val="28"/>
                        </w:rPr>
                        <w:instrText xml:space="preserve"> DOCPROPERTY  SectionTitle  \* MERGEFORMAT </w:instrText>
                      </w:r>
                      <w:r w:rsidRPr="005D18D1">
                        <w:rPr>
                          <w:b/>
                          <w:sz w:val="28"/>
                        </w:rPr>
                        <w:fldChar w:fldCharType="separate"/>
                      </w:r>
                      <w:r w:rsidR="00547071">
                        <w:rPr>
                          <w:b/>
                          <w:sz w:val="28"/>
                        </w:rPr>
                        <w:t>E4 Refunds and Cancellation</w:t>
                      </w:r>
                      <w:r w:rsidRPr="005D18D1">
                        <w:rPr>
                          <w:b/>
                          <w:sz w:val="28"/>
                        </w:rPr>
                        <w:fldChar w:fldCharType="end"/>
                      </w:r>
                    </w:p>
                    <w:p w14:paraId="4816AE12" w14:textId="77777777" w:rsidR="005D18D1" w:rsidRDefault="005D18D1" w:rsidP="005D18D1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E15B80" w14:paraId="6FBED07C" w14:textId="77777777" w:rsidTr="006E61DB">
        <w:tc>
          <w:tcPr>
            <w:tcW w:w="3256" w:type="dxa"/>
          </w:tcPr>
          <w:p w14:paraId="418177A9" w14:textId="77777777" w:rsidR="00E15B80" w:rsidRDefault="00E15B80">
            <w:r>
              <w:t>Standards for RTOs 2015</w:t>
            </w:r>
          </w:p>
        </w:tc>
        <w:tc>
          <w:tcPr>
            <w:tcW w:w="5760" w:type="dxa"/>
          </w:tcPr>
          <w:p w14:paraId="1ED86C48" w14:textId="21B869E7" w:rsidR="00E15B80" w:rsidRPr="002B2638" w:rsidRDefault="00E15B80"/>
        </w:tc>
      </w:tr>
      <w:tr w:rsidR="00734CF8" w14:paraId="0C61D97B" w14:textId="77777777" w:rsidTr="006E61DB">
        <w:tc>
          <w:tcPr>
            <w:tcW w:w="3256" w:type="dxa"/>
          </w:tcPr>
          <w:p w14:paraId="06510615" w14:textId="78260C69" w:rsidR="00734CF8" w:rsidRDefault="002B2638" w:rsidP="00734CF8">
            <w:pPr>
              <w:jc w:val="right"/>
            </w:pPr>
            <w:r>
              <w:t>Standards Referenced</w:t>
            </w:r>
          </w:p>
        </w:tc>
        <w:tc>
          <w:tcPr>
            <w:tcW w:w="5760" w:type="dxa"/>
          </w:tcPr>
          <w:p w14:paraId="6D630FCB" w14:textId="66B71A25" w:rsidR="00734CF8" w:rsidRPr="002B2638" w:rsidRDefault="00734CF8"/>
        </w:tc>
      </w:tr>
    </w:tbl>
    <w:p w14:paraId="20E10B8B" w14:textId="77777777" w:rsidR="002858F5" w:rsidRDefault="002858F5" w:rsidP="002858F5">
      <w:pPr>
        <w:pStyle w:val="Heading1"/>
      </w:pPr>
      <w:r>
        <w:t>General Policy</w:t>
      </w:r>
    </w:p>
    <w:p w14:paraId="74848E63" w14:textId="5E26B97C" w:rsidR="006A509F" w:rsidRPr="00030B8B" w:rsidRDefault="001E5349" w:rsidP="006A509F">
      <w:pPr>
        <w:rPr>
          <w:rFonts w:cs="Arial"/>
        </w:rPr>
      </w:pPr>
      <w:r>
        <w:t>STC</w:t>
      </w:r>
      <w:r w:rsidR="001C06B0" w:rsidRPr="007E46D0">
        <w:t xml:space="preserve"> </w:t>
      </w:r>
      <w:r w:rsidR="006A509F">
        <w:rPr>
          <w:rFonts w:cs="Arial"/>
        </w:rPr>
        <w:t xml:space="preserve">will refund fees and charges to learners who cancel or withdraw from their course according to the </w:t>
      </w:r>
      <w:r w:rsidR="002D4C00">
        <w:rPr>
          <w:rFonts w:cs="Arial"/>
        </w:rPr>
        <w:t>criteria listed below</w:t>
      </w:r>
      <w:r w:rsidR="006A509F">
        <w:rPr>
          <w:rFonts w:cs="Arial"/>
        </w:rPr>
        <w:t>.</w:t>
      </w:r>
    </w:p>
    <w:p w14:paraId="1C576354" w14:textId="40E7AAD5" w:rsidR="006A509F" w:rsidRDefault="006A509F" w:rsidP="00BE4EE7">
      <w:pPr>
        <w:pStyle w:val="Heading1"/>
        <w:tabs>
          <w:tab w:val="left" w:pos="3435"/>
        </w:tabs>
      </w:pPr>
      <w:bookmarkStart w:id="0" w:name="_Toc372289301"/>
      <w:bookmarkStart w:id="1" w:name="_Toc389227801"/>
      <w:r>
        <w:t xml:space="preserve">Course cancellation </w:t>
      </w:r>
      <w:r w:rsidR="00BE4EE7">
        <w:tab/>
      </w:r>
    </w:p>
    <w:bookmarkEnd w:id="0"/>
    <w:bookmarkEnd w:id="1"/>
    <w:p w14:paraId="57F74A68" w14:textId="6244F578" w:rsidR="006A509F" w:rsidRPr="00030B8B" w:rsidRDefault="001E5349" w:rsidP="006A509F">
      <w:pPr>
        <w:rPr>
          <w:rFonts w:cs="Arial"/>
        </w:rPr>
      </w:pPr>
      <w:r>
        <w:t>STC</w:t>
      </w:r>
      <w:r w:rsidR="006A509F" w:rsidRPr="007E46D0">
        <w:t xml:space="preserve"> </w:t>
      </w:r>
      <w:r w:rsidR="006A509F" w:rsidRPr="00030B8B">
        <w:rPr>
          <w:rFonts w:cs="Arial"/>
        </w:rPr>
        <w:t>reserves the right to cancel a course</w:t>
      </w:r>
      <w:r w:rsidR="002B2638">
        <w:rPr>
          <w:rFonts w:cs="Arial"/>
        </w:rPr>
        <w:t xml:space="preserve">, whether </w:t>
      </w:r>
      <w:r w:rsidR="006A509F" w:rsidRPr="00030B8B">
        <w:rPr>
          <w:rFonts w:cs="Arial"/>
        </w:rPr>
        <w:t>pre</w:t>
      </w:r>
      <w:r w:rsidR="006A509F">
        <w:rPr>
          <w:rFonts w:cs="Arial"/>
        </w:rPr>
        <w:t>-</w:t>
      </w:r>
      <w:r w:rsidR="006A509F" w:rsidRPr="00030B8B">
        <w:rPr>
          <w:rFonts w:cs="Arial"/>
        </w:rPr>
        <w:t>apprenticeship, apprenticeship</w:t>
      </w:r>
      <w:r w:rsidR="002B2638">
        <w:rPr>
          <w:rFonts w:cs="Arial"/>
        </w:rPr>
        <w:t>,</w:t>
      </w:r>
      <w:r w:rsidR="006A509F" w:rsidRPr="00030B8B">
        <w:rPr>
          <w:rFonts w:cs="Arial"/>
        </w:rPr>
        <w:t xml:space="preserve"> or post</w:t>
      </w:r>
      <w:r w:rsidR="002B2638">
        <w:rPr>
          <w:rFonts w:cs="Arial"/>
        </w:rPr>
        <w:t>-</w:t>
      </w:r>
      <w:r w:rsidR="006A509F" w:rsidRPr="00030B8B">
        <w:rPr>
          <w:rFonts w:cs="Arial"/>
        </w:rPr>
        <w:t>trade</w:t>
      </w:r>
      <w:r w:rsidR="002B2638">
        <w:rPr>
          <w:rFonts w:cs="Arial"/>
        </w:rPr>
        <w:t>,</w:t>
      </w:r>
      <w:r w:rsidR="006A509F" w:rsidRPr="00030B8B">
        <w:rPr>
          <w:rFonts w:cs="Arial"/>
        </w:rPr>
        <w:t xml:space="preserve"> if insufficient learners enrol in it, or if circumstances beyond our control require us to do so.</w:t>
      </w:r>
      <w:r w:rsidR="002B2638">
        <w:rPr>
          <w:rFonts w:cs="Arial"/>
        </w:rPr>
        <w:t xml:space="preserve"> </w:t>
      </w:r>
      <w:r>
        <w:t>STC</w:t>
      </w:r>
      <w:r w:rsidR="006A509F" w:rsidRPr="007E46D0">
        <w:t xml:space="preserve"> </w:t>
      </w:r>
      <w:r w:rsidR="006A509F" w:rsidRPr="00030B8B">
        <w:rPr>
          <w:rFonts w:cs="Arial"/>
        </w:rPr>
        <w:t xml:space="preserve">will provide learners with a full </w:t>
      </w:r>
      <w:r w:rsidR="006A509F">
        <w:rPr>
          <w:rFonts w:cs="Arial"/>
        </w:rPr>
        <w:t xml:space="preserve">fee </w:t>
      </w:r>
      <w:r w:rsidR="006A509F" w:rsidRPr="00030B8B">
        <w:rPr>
          <w:rFonts w:cs="Arial"/>
        </w:rPr>
        <w:t>refund in this situation.</w:t>
      </w:r>
    </w:p>
    <w:p w14:paraId="44EE6267" w14:textId="77777777" w:rsidR="006A509F" w:rsidRDefault="006A509F" w:rsidP="006A509F">
      <w:pPr>
        <w:pStyle w:val="Heading1"/>
      </w:pPr>
      <w:r>
        <w:t xml:space="preserve">Fee for service courses </w:t>
      </w:r>
    </w:p>
    <w:p w14:paraId="0841F578" w14:textId="77777777" w:rsidR="006A509F" w:rsidRPr="00030B8B" w:rsidRDefault="006A509F" w:rsidP="006A509F">
      <w:pPr>
        <w:pStyle w:val="Heading2"/>
      </w:pPr>
      <w:r>
        <w:t xml:space="preserve">Learner cancellation </w:t>
      </w:r>
    </w:p>
    <w:p w14:paraId="01D85D2A" w14:textId="05DC094B" w:rsidR="006A509F" w:rsidRDefault="001E5349" w:rsidP="007219D7">
      <w:r>
        <w:t>STC</w:t>
      </w:r>
      <w:r w:rsidR="006A509F" w:rsidRPr="007E46D0">
        <w:t xml:space="preserve"> </w:t>
      </w:r>
      <w:r w:rsidR="006A509F">
        <w:t>complies with the</w:t>
      </w:r>
      <w:r w:rsidR="00D67992">
        <w:t xml:space="preserve"> following </w:t>
      </w:r>
      <w:r w:rsidR="006A509F">
        <w:t>general refund and cancellation policy for all fee for service courses.</w:t>
      </w:r>
      <w:r w:rsidR="002B2638">
        <w:t xml:space="preserve"> For more information, refer to the </w:t>
      </w:r>
      <w:r w:rsidR="001869B2" w:rsidRPr="00252754">
        <w:rPr>
          <w:color w:val="2E74B5" w:themeColor="accent1" w:themeShade="BF"/>
        </w:rPr>
        <w:t xml:space="preserve">E3 </w:t>
      </w:r>
      <w:r w:rsidR="00633F69" w:rsidRPr="00252754">
        <w:rPr>
          <w:color w:val="2E74B5" w:themeColor="accent1" w:themeShade="BF"/>
        </w:rPr>
        <w:t>Fees Policy</w:t>
      </w:r>
      <w:r w:rsidR="002B2638">
        <w:t>.</w:t>
      </w:r>
    </w:p>
    <w:p w14:paraId="647AD452" w14:textId="70D1B54C" w:rsidR="006A509F" w:rsidRDefault="006A509F" w:rsidP="006A509F">
      <w:r>
        <w:t>Refunds will be calculated according to the following table</w:t>
      </w:r>
      <w:r w:rsidR="002B263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7"/>
        <w:gridCol w:w="4449"/>
      </w:tblGrid>
      <w:tr w:rsidR="006A509F" w:rsidRPr="00030B8B" w14:paraId="56191CA2" w14:textId="77777777" w:rsidTr="001D682A">
        <w:tc>
          <w:tcPr>
            <w:tcW w:w="4567" w:type="dxa"/>
          </w:tcPr>
          <w:p w14:paraId="5730333E" w14:textId="77777777" w:rsidR="006A509F" w:rsidRPr="00030B8B" w:rsidRDefault="006A509F" w:rsidP="009D339B">
            <w:pPr>
              <w:spacing w:before="120" w:after="120"/>
              <w:jc w:val="center"/>
              <w:rPr>
                <w:b/>
              </w:rPr>
            </w:pPr>
            <w:r w:rsidRPr="00030B8B">
              <w:rPr>
                <w:b/>
              </w:rPr>
              <w:t>Number of days</w:t>
            </w:r>
            <w:r w:rsidR="002B2638">
              <w:rPr>
                <w:b/>
              </w:rPr>
              <w:t>’</w:t>
            </w:r>
            <w:r w:rsidRPr="00030B8B">
              <w:rPr>
                <w:b/>
              </w:rPr>
              <w:t xml:space="preserve"> notice</w:t>
            </w:r>
          </w:p>
        </w:tc>
        <w:tc>
          <w:tcPr>
            <w:tcW w:w="4449" w:type="dxa"/>
          </w:tcPr>
          <w:p w14:paraId="6F2AC01D" w14:textId="77777777" w:rsidR="006A509F" w:rsidRPr="00030B8B" w:rsidRDefault="006A509F" w:rsidP="009D339B">
            <w:pPr>
              <w:spacing w:before="120" w:after="120"/>
              <w:jc w:val="center"/>
              <w:rPr>
                <w:b/>
              </w:rPr>
            </w:pPr>
            <w:r w:rsidRPr="00030B8B">
              <w:rPr>
                <w:b/>
              </w:rPr>
              <w:t>Refund</w:t>
            </w:r>
          </w:p>
        </w:tc>
      </w:tr>
      <w:tr w:rsidR="006A509F" w:rsidRPr="00030B8B" w14:paraId="798C13B9" w14:textId="77777777" w:rsidTr="001D682A">
        <w:tc>
          <w:tcPr>
            <w:tcW w:w="4567" w:type="dxa"/>
          </w:tcPr>
          <w:p w14:paraId="1C6C55AF" w14:textId="77777777" w:rsidR="006A509F" w:rsidRPr="00030B8B" w:rsidRDefault="006A509F" w:rsidP="009D339B">
            <w:pPr>
              <w:spacing w:before="60" w:after="60"/>
            </w:pPr>
            <w:r w:rsidRPr="00030B8B">
              <w:t>More than 10 days before course starts</w:t>
            </w:r>
          </w:p>
        </w:tc>
        <w:tc>
          <w:tcPr>
            <w:tcW w:w="4449" w:type="dxa"/>
          </w:tcPr>
          <w:p w14:paraId="031FE475" w14:textId="2C4288BC" w:rsidR="006A509F" w:rsidRPr="00030B8B" w:rsidRDefault="006A509F" w:rsidP="007219D7">
            <w:pPr>
              <w:spacing w:before="60" w:after="60"/>
            </w:pPr>
            <w:r w:rsidRPr="00030B8B">
              <w:t>Full refund of all fees</w:t>
            </w:r>
            <w:r w:rsidR="002B08DC">
              <w:t>, less $200 administration fee</w:t>
            </w:r>
          </w:p>
        </w:tc>
      </w:tr>
      <w:tr w:rsidR="006A509F" w:rsidRPr="00030B8B" w14:paraId="3AA3A5CF" w14:textId="77777777" w:rsidTr="001D682A">
        <w:tc>
          <w:tcPr>
            <w:tcW w:w="4567" w:type="dxa"/>
          </w:tcPr>
          <w:p w14:paraId="0DDD9B65" w14:textId="048C0B1B" w:rsidR="006A509F" w:rsidRPr="00030B8B" w:rsidRDefault="002B2638" w:rsidP="002B2638">
            <w:pPr>
              <w:spacing w:before="60" w:after="60"/>
            </w:pPr>
            <w:r>
              <w:t xml:space="preserve">4 </w:t>
            </w:r>
            <w:r w:rsidR="006A509F" w:rsidRPr="00030B8B">
              <w:t>-</w:t>
            </w:r>
            <w:r w:rsidR="006A509F">
              <w:t xml:space="preserve"> </w:t>
            </w:r>
            <w:r w:rsidR="006A509F" w:rsidRPr="00030B8B">
              <w:t>9 days before course starts</w:t>
            </w:r>
          </w:p>
        </w:tc>
        <w:tc>
          <w:tcPr>
            <w:tcW w:w="4449" w:type="dxa"/>
          </w:tcPr>
          <w:p w14:paraId="099F2D90" w14:textId="77777777" w:rsidR="006A509F" w:rsidRPr="00030B8B" w:rsidRDefault="006A509F" w:rsidP="007219D7">
            <w:pPr>
              <w:spacing w:before="60" w:after="60"/>
            </w:pPr>
            <w:r w:rsidRPr="00030B8B">
              <w:t>50% refund of fees</w:t>
            </w:r>
          </w:p>
        </w:tc>
      </w:tr>
      <w:tr w:rsidR="006A509F" w:rsidRPr="00030B8B" w14:paraId="2C742D22" w14:textId="77777777" w:rsidTr="001D682A">
        <w:tc>
          <w:tcPr>
            <w:tcW w:w="4567" w:type="dxa"/>
          </w:tcPr>
          <w:p w14:paraId="331CCE64" w14:textId="77777777" w:rsidR="006A509F" w:rsidRPr="00030B8B" w:rsidRDefault="006A509F" w:rsidP="009D339B">
            <w:pPr>
              <w:spacing w:before="60" w:after="60"/>
            </w:pPr>
            <w:r w:rsidRPr="00030B8B">
              <w:t xml:space="preserve">Within 4 days of course starting </w:t>
            </w:r>
          </w:p>
        </w:tc>
        <w:tc>
          <w:tcPr>
            <w:tcW w:w="4449" w:type="dxa"/>
          </w:tcPr>
          <w:p w14:paraId="7326A426" w14:textId="77777777" w:rsidR="006A509F" w:rsidRPr="00030B8B" w:rsidRDefault="006A509F" w:rsidP="007219D7">
            <w:pPr>
              <w:spacing w:before="60" w:after="60"/>
            </w:pPr>
            <w:r w:rsidRPr="00030B8B">
              <w:t>No refund of any fees</w:t>
            </w:r>
          </w:p>
        </w:tc>
      </w:tr>
      <w:tr w:rsidR="006A509F" w:rsidRPr="00030B8B" w14:paraId="7E18905C" w14:textId="77777777" w:rsidTr="001D682A">
        <w:tc>
          <w:tcPr>
            <w:tcW w:w="4567" w:type="dxa"/>
          </w:tcPr>
          <w:p w14:paraId="7FF43768" w14:textId="77777777" w:rsidR="006A509F" w:rsidRPr="00030B8B" w:rsidRDefault="006A509F" w:rsidP="009D339B">
            <w:pPr>
              <w:spacing w:before="60" w:after="60"/>
            </w:pPr>
            <w:r w:rsidRPr="00030B8B">
              <w:t>After commencement of course</w:t>
            </w:r>
          </w:p>
        </w:tc>
        <w:tc>
          <w:tcPr>
            <w:tcW w:w="4449" w:type="dxa"/>
          </w:tcPr>
          <w:p w14:paraId="56FE8A9D" w14:textId="77777777" w:rsidR="006A509F" w:rsidRPr="00030B8B" w:rsidRDefault="006A509F" w:rsidP="007219D7">
            <w:pPr>
              <w:spacing w:before="60" w:after="60"/>
            </w:pPr>
            <w:r w:rsidRPr="00030B8B">
              <w:t>No refund of any fees</w:t>
            </w:r>
          </w:p>
        </w:tc>
      </w:tr>
      <w:tr w:rsidR="00B2282F" w:rsidRPr="00030B8B" w14:paraId="5AF41418" w14:textId="77777777" w:rsidTr="0039021C">
        <w:tc>
          <w:tcPr>
            <w:tcW w:w="9016" w:type="dxa"/>
            <w:gridSpan w:val="2"/>
          </w:tcPr>
          <w:p w14:paraId="2631AE2F" w14:textId="2D128F69" w:rsidR="00B2282F" w:rsidRPr="00B2282F" w:rsidRDefault="00B2282F" w:rsidP="00B2282F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Online/correspondence courses</w:t>
            </w:r>
          </w:p>
        </w:tc>
      </w:tr>
      <w:tr w:rsidR="00B2282F" w:rsidRPr="00030B8B" w14:paraId="4DD1CF06" w14:textId="77777777" w:rsidTr="001D682A">
        <w:tc>
          <w:tcPr>
            <w:tcW w:w="4567" w:type="dxa"/>
          </w:tcPr>
          <w:p w14:paraId="4CB60FB8" w14:textId="78A1CDB2" w:rsidR="00B2282F" w:rsidRPr="00030B8B" w:rsidRDefault="00B2282F" w:rsidP="009D339B">
            <w:pPr>
              <w:spacing w:before="60" w:after="60"/>
            </w:pPr>
            <w:r>
              <w:t>Within 10 days of the enrolment confirmation date (cooling off period)</w:t>
            </w:r>
          </w:p>
        </w:tc>
        <w:tc>
          <w:tcPr>
            <w:tcW w:w="4449" w:type="dxa"/>
          </w:tcPr>
          <w:p w14:paraId="7F85DF3B" w14:textId="280E9FD2" w:rsidR="00B2282F" w:rsidRPr="00030B8B" w:rsidRDefault="00537DD8" w:rsidP="007219D7">
            <w:pPr>
              <w:spacing w:before="60" w:after="60"/>
            </w:pPr>
            <w:r>
              <w:t>Full refund of fees</w:t>
            </w:r>
          </w:p>
        </w:tc>
      </w:tr>
    </w:tbl>
    <w:p w14:paraId="0F6705C6" w14:textId="77777777" w:rsidR="006A509F" w:rsidRDefault="006A509F" w:rsidP="006A509F"/>
    <w:p w14:paraId="3ED4D84A" w14:textId="4A5D8441" w:rsidR="00722E95" w:rsidRDefault="00722E95" w:rsidP="006A509F">
      <w:r>
        <w:t xml:space="preserve">Clients who wish to cancel a course/unit of competency/module will need to apply for a refund of fees in writing to </w:t>
      </w:r>
      <w:r w:rsidR="001E5349">
        <w:t>STC</w:t>
      </w:r>
      <w:r>
        <w:t xml:space="preserve"> by completing a </w:t>
      </w:r>
      <w:r w:rsidR="00252754" w:rsidRPr="00252754">
        <w:rPr>
          <w:color w:val="2E74B5" w:themeColor="accent1" w:themeShade="BF"/>
        </w:rPr>
        <w:t xml:space="preserve">E_FM01 </w:t>
      </w:r>
      <w:r w:rsidR="005823A2">
        <w:rPr>
          <w:color w:val="2E74B5" w:themeColor="accent1" w:themeShade="BF"/>
        </w:rPr>
        <w:t>Refund Request Form</w:t>
      </w:r>
      <w:r w:rsidR="00511B2B">
        <w:t xml:space="preserve">, stating the reason for the request for refund and where applicable, including evidence to substantiate the claim submitted to the </w:t>
      </w:r>
      <w:r w:rsidR="001E5349">
        <w:t>Operations</w:t>
      </w:r>
      <w:r w:rsidR="00511B2B">
        <w:t xml:space="preserve"> Manager for processing.</w:t>
      </w:r>
      <w:r w:rsidR="002B08DC">
        <w:t xml:space="preserve">  </w:t>
      </w:r>
    </w:p>
    <w:p w14:paraId="7E552337" w14:textId="409CFA44" w:rsidR="006A509F" w:rsidRDefault="002B08DC" w:rsidP="000647FB">
      <w:r>
        <w:t xml:space="preserve">The first initial response from </w:t>
      </w:r>
      <w:r w:rsidR="001E5349">
        <w:t>STC</w:t>
      </w:r>
      <w:r>
        <w:t xml:space="preserve"> for these types of requests will be a review of the student’s circumstance with a view to approving an extension of time to finish the course.</w:t>
      </w:r>
      <w:bookmarkStart w:id="2" w:name="_Toc372289303"/>
      <w:bookmarkStart w:id="3" w:name="_Toc389227803"/>
      <w:r w:rsidR="00DF042B">
        <w:t xml:space="preserve"> </w:t>
      </w:r>
      <w:r w:rsidR="006A509F">
        <w:t>Learner transfer</w:t>
      </w:r>
    </w:p>
    <w:p w14:paraId="2334EE37" w14:textId="4470DB04" w:rsidR="001D682A" w:rsidRDefault="006A509F" w:rsidP="001D682A">
      <w:pPr>
        <w:spacing w:after="200"/>
      </w:pPr>
      <w:r>
        <w:t xml:space="preserve">As an alternative to course cancellation, and provided the request falls within four days of the course starting, </w:t>
      </w:r>
      <w:r w:rsidR="001E5349">
        <w:t>STC</w:t>
      </w:r>
      <w:r w:rsidR="001D682A" w:rsidRPr="007E46D0">
        <w:t xml:space="preserve"> </w:t>
      </w:r>
      <w:r>
        <w:t>will allow a learner to transfer their enrolment to the next available same course. Any fees and charges paid by the learner will transfer to the next course.</w:t>
      </w:r>
    </w:p>
    <w:p w14:paraId="40A389EC" w14:textId="4EBD7D79" w:rsidR="006A509F" w:rsidRPr="00A776D6" w:rsidRDefault="006A509F" w:rsidP="001D682A">
      <w:pPr>
        <w:pStyle w:val="Heading2"/>
      </w:pPr>
      <w:r w:rsidRPr="00A776D6">
        <w:lastRenderedPageBreak/>
        <w:t>Substitution</w:t>
      </w:r>
      <w:r>
        <w:t xml:space="preserve"> </w:t>
      </w:r>
      <w:r w:rsidRPr="00030B8B">
        <w:t>(</w:t>
      </w:r>
      <w:r w:rsidR="002D4C00">
        <w:t>short course</w:t>
      </w:r>
      <w:r w:rsidRPr="00030B8B">
        <w:t>)</w:t>
      </w:r>
    </w:p>
    <w:p w14:paraId="5CEF09AF" w14:textId="4F060541" w:rsidR="006A509F" w:rsidRPr="00B70B86" w:rsidRDefault="006A509F" w:rsidP="006A509F">
      <w:r w:rsidRPr="00B70B86">
        <w:t xml:space="preserve">A </w:t>
      </w:r>
      <w:r>
        <w:t>learner</w:t>
      </w:r>
      <w:r w:rsidRPr="00B70B86">
        <w:t xml:space="preserve"> </w:t>
      </w:r>
      <w:r>
        <w:t xml:space="preserve">may </w:t>
      </w:r>
      <w:r w:rsidR="002D4C00">
        <w:t xml:space="preserve">request </w:t>
      </w:r>
      <w:r w:rsidRPr="00B70B86">
        <w:t xml:space="preserve">to transfer their </w:t>
      </w:r>
      <w:r>
        <w:t xml:space="preserve">course </w:t>
      </w:r>
      <w:r w:rsidRPr="00B70B86">
        <w:t xml:space="preserve">enrolment to another person, </w:t>
      </w:r>
      <w:r w:rsidR="002D4C00">
        <w:t xml:space="preserve">and </w:t>
      </w:r>
      <w:r w:rsidRPr="00B70B86">
        <w:t>tell</w:t>
      </w:r>
      <w:r>
        <w:t xml:space="preserve"> </w:t>
      </w:r>
      <w:r w:rsidR="001E5349">
        <w:t>STC</w:t>
      </w:r>
      <w:r w:rsidR="001D682A" w:rsidRPr="007E46D0">
        <w:t xml:space="preserve"> </w:t>
      </w:r>
      <w:r w:rsidRPr="00B70B86">
        <w:t>this in writing, before the course starts.</w:t>
      </w:r>
      <w:r>
        <w:t xml:space="preserve"> </w:t>
      </w:r>
      <w:r w:rsidR="002D4C00">
        <w:t xml:space="preserve">At the discretion of </w:t>
      </w:r>
      <w:r w:rsidR="001E5349">
        <w:t>STC</w:t>
      </w:r>
      <w:r w:rsidR="002D4C00" w:rsidRPr="007E46D0">
        <w:t xml:space="preserve"> </w:t>
      </w:r>
      <w:r>
        <w:t xml:space="preserve">may restrict substitutions depending on </w:t>
      </w:r>
      <w:r w:rsidR="002B2638">
        <w:t xml:space="preserve">the </w:t>
      </w:r>
      <w:r>
        <w:t xml:space="preserve">amount of notice provided. </w:t>
      </w:r>
      <w:r w:rsidR="001E5349">
        <w:t>STC</w:t>
      </w:r>
      <w:r w:rsidR="001D682A" w:rsidRPr="007E46D0">
        <w:t xml:space="preserve"> </w:t>
      </w:r>
      <w:r>
        <w:t xml:space="preserve">reserves the right to confirm </w:t>
      </w:r>
      <w:r w:rsidR="002B2638">
        <w:t xml:space="preserve">or reject </w:t>
      </w:r>
      <w:r>
        <w:t>substitution.</w:t>
      </w:r>
    </w:p>
    <w:p w14:paraId="59536E71" w14:textId="31A3D9D8" w:rsidR="006A509F" w:rsidRPr="00A776D6" w:rsidRDefault="006A509F" w:rsidP="001D682A">
      <w:pPr>
        <w:pStyle w:val="Heading2"/>
      </w:pPr>
      <w:r w:rsidRPr="00A776D6">
        <w:t>Deferment</w:t>
      </w:r>
      <w:bookmarkEnd w:id="2"/>
      <w:bookmarkEnd w:id="3"/>
      <w:r>
        <w:t xml:space="preserve"> </w:t>
      </w:r>
      <w:r w:rsidRPr="00030B8B">
        <w:t>(</w:t>
      </w:r>
      <w:r w:rsidR="002D4C00">
        <w:t>short course</w:t>
      </w:r>
      <w:r w:rsidRPr="00030B8B">
        <w:t>)</w:t>
      </w:r>
    </w:p>
    <w:p w14:paraId="70C0C628" w14:textId="77DE26BF" w:rsidR="006A509F" w:rsidRPr="001D682A" w:rsidRDefault="006A509F" w:rsidP="004B14D0">
      <w:pPr>
        <w:pStyle w:val="Dotpointlast"/>
        <w:numPr>
          <w:ilvl w:val="0"/>
          <w:numId w:val="0"/>
        </w:numPr>
        <w:spacing w:line="259" w:lineRule="auto"/>
        <w:rPr>
          <w:rFonts w:asciiTheme="minorHAnsi" w:eastAsiaTheme="minorHAnsi" w:hAnsiTheme="minorHAnsi" w:cstheme="minorBidi"/>
          <w:szCs w:val="22"/>
          <w:lang w:val="en-AU"/>
        </w:rPr>
      </w:pPr>
      <w:r w:rsidRPr="001D682A">
        <w:rPr>
          <w:rFonts w:asciiTheme="minorHAnsi" w:eastAsiaTheme="minorHAnsi" w:hAnsiTheme="minorHAnsi" w:cstheme="minorBidi"/>
          <w:szCs w:val="22"/>
          <w:lang w:val="en-AU"/>
        </w:rPr>
        <w:t xml:space="preserve">In special circumstances </w:t>
      </w:r>
      <w:r w:rsidR="001E5349">
        <w:t>STC</w:t>
      </w:r>
      <w:r w:rsidR="001D682A" w:rsidRPr="007E46D0">
        <w:t xml:space="preserve"> </w:t>
      </w:r>
      <w:r w:rsidRPr="001D682A">
        <w:rPr>
          <w:rFonts w:asciiTheme="minorHAnsi" w:eastAsiaTheme="minorHAnsi" w:hAnsiTheme="minorHAnsi" w:cstheme="minorBidi"/>
          <w:szCs w:val="22"/>
          <w:lang w:val="en-AU"/>
        </w:rPr>
        <w:t xml:space="preserve">may allow a learner who has commenced their course to defer to the </w:t>
      </w:r>
      <w:r w:rsidR="002D4C00">
        <w:rPr>
          <w:rFonts w:asciiTheme="minorHAnsi" w:eastAsiaTheme="minorHAnsi" w:hAnsiTheme="minorHAnsi" w:cstheme="minorBidi"/>
          <w:szCs w:val="22"/>
          <w:lang w:val="en-AU"/>
        </w:rPr>
        <w:t xml:space="preserve">future </w:t>
      </w:r>
      <w:r w:rsidRPr="001D682A">
        <w:rPr>
          <w:rFonts w:asciiTheme="minorHAnsi" w:eastAsiaTheme="minorHAnsi" w:hAnsiTheme="minorHAnsi" w:cstheme="minorBidi"/>
          <w:szCs w:val="22"/>
          <w:lang w:val="en-AU"/>
        </w:rPr>
        <w:t>course. In this situation</w:t>
      </w:r>
      <w:r w:rsidR="002B2638">
        <w:rPr>
          <w:rFonts w:asciiTheme="minorHAnsi" w:eastAsiaTheme="minorHAnsi" w:hAnsiTheme="minorHAnsi" w:cstheme="minorBidi"/>
          <w:szCs w:val="22"/>
          <w:lang w:val="en-AU"/>
        </w:rPr>
        <w:t>,</w:t>
      </w:r>
      <w:r w:rsidRPr="001D682A">
        <w:rPr>
          <w:rFonts w:asciiTheme="minorHAnsi" w:eastAsiaTheme="minorHAnsi" w:hAnsiTheme="minorHAnsi" w:cstheme="minorBidi"/>
          <w:szCs w:val="22"/>
          <w:lang w:val="en-AU"/>
        </w:rPr>
        <w:t xml:space="preserve"> the pro</w:t>
      </w:r>
      <w:r w:rsidR="002B2638">
        <w:rPr>
          <w:rFonts w:asciiTheme="minorHAnsi" w:eastAsiaTheme="minorHAnsi" w:hAnsiTheme="minorHAnsi" w:cstheme="minorBidi"/>
          <w:szCs w:val="22"/>
          <w:lang w:val="en-AU"/>
        </w:rPr>
        <w:t>-</w:t>
      </w:r>
      <w:r w:rsidRPr="001D682A">
        <w:rPr>
          <w:rFonts w:asciiTheme="minorHAnsi" w:eastAsiaTheme="minorHAnsi" w:hAnsiTheme="minorHAnsi" w:cstheme="minorBidi"/>
          <w:szCs w:val="22"/>
          <w:lang w:val="en-AU"/>
        </w:rPr>
        <w:t>rata of fees paid will be used as credit to pay for the remainder of the same course at a future date. The pro</w:t>
      </w:r>
      <w:r w:rsidR="002B2638">
        <w:rPr>
          <w:rFonts w:asciiTheme="minorHAnsi" w:eastAsiaTheme="minorHAnsi" w:hAnsiTheme="minorHAnsi" w:cstheme="minorBidi"/>
          <w:szCs w:val="22"/>
          <w:lang w:val="en-AU"/>
        </w:rPr>
        <w:t>-</w:t>
      </w:r>
      <w:r w:rsidRPr="001D682A">
        <w:rPr>
          <w:rFonts w:asciiTheme="minorHAnsi" w:eastAsiaTheme="minorHAnsi" w:hAnsiTheme="minorHAnsi" w:cstheme="minorBidi"/>
          <w:szCs w:val="22"/>
          <w:lang w:val="en-AU"/>
        </w:rPr>
        <w:t xml:space="preserve">rata fees credit cannot be transferred to another person. The credit is non-refundable. Deferment must be approved by the </w:t>
      </w:r>
      <w:r w:rsidR="002D4C00">
        <w:rPr>
          <w:rFonts w:asciiTheme="minorHAnsi" w:eastAsiaTheme="minorHAnsi" w:hAnsiTheme="minorHAnsi" w:cstheme="minorBidi"/>
          <w:szCs w:val="22"/>
          <w:lang w:val="en-AU"/>
        </w:rPr>
        <w:t>CEO or their authorised delegate</w:t>
      </w:r>
      <w:r w:rsidRPr="001D682A">
        <w:rPr>
          <w:rFonts w:asciiTheme="minorHAnsi" w:eastAsiaTheme="minorHAnsi" w:hAnsiTheme="minorHAnsi" w:cstheme="minorBidi"/>
          <w:szCs w:val="22"/>
          <w:lang w:val="en-AU"/>
        </w:rPr>
        <w:t>.</w:t>
      </w:r>
    </w:p>
    <w:p w14:paraId="2E7ED5F5" w14:textId="1F671C35" w:rsidR="006A509F" w:rsidRDefault="001E5349" w:rsidP="001D682A">
      <w:pPr>
        <w:pStyle w:val="Heading2"/>
      </w:pPr>
      <w:r>
        <w:t>STC</w:t>
      </w:r>
      <w:r w:rsidR="007A5442" w:rsidRPr="007E46D0">
        <w:t xml:space="preserve"> </w:t>
      </w:r>
      <w:r w:rsidR="007A5442">
        <w:t xml:space="preserve">mandated </w:t>
      </w:r>
      <w:r w:rsidR="006A509F">
        <w:t xml:space="preserve">withdrawal </w:t>
      </w:r>
    </w:p>
    <w:p w14:paraId="65083EB3" w14:textId="7DBB36C6" w:rsidR="001D4A66" w:rsidRDefault="001E5349" w:rsidP="006A509F">
      <w:pPr>
        <w:spacing w:after="200"/>
      </w:pPr>
      <w:r>
        <w:t>STC</w:t>
      </w:r>
      <w:r w:rsidR="001D682A" w:rsidRPr="007E46D0">
        <w:t xml:space="preserve"> </w:t>
      </w:r>
      <w:r w:rsidR="006A509F">
        <w:t xml:space="preserve">may withdraw a learner who has not attended a post trade course for two consecutive classes. </w:t>
      </w:r>
      <w:r>
        <w:t>STC</w:t>
      </w:r>
      <w:r w:rsidR="001D682A" w:rsidRPr="007E46D0">
        <w:t xml:space="preserve"> </w:t>
      </w:r>
      <w:r w:rsidR="006A509F">
        <w:t>will contact the learner after the second absence to confirm the learner’s inten</w:t>
      </w:r>
      <w:r w:rsidR="002B2638">
        <w:t>t</w:t>
      </w:r>
      <w:r w:rsidR="006A509F">
        <w:t>ion. If the learner confirms they are withdrawing or does nothing</w:t>
      </w:r>
      <w:r w:rsidR="002B2638">
        <w:t>,</w:t>
      </w:r>
      <w:r w:rsidR="006A509F">
        <w:t xml:space="preserve"> </w:t>
      </w:r>
      <w:r>
        <w:t>STC</w:t>
      </w:r>
      <w:r w:rsidR="001D682A" w:rsidRPr="007E46D0">
        <w:t xml:space="preserve"> </w:t>
      </w:r>
      <w:r w:rsidR="006A509F">
        <w:t>wi</w:t>
      </w:r>
      <w:r w:rsidR="002B2638">
        <w:t>ll</w:t>
      </w:r>
      <w:r w:rsidR="006A509F">
        <w:t xml:space="preserve"> withdraw them from the course. The learner is not eligible for any fee refunds or pro rata deferment in this case.</w:t>
      </w:r>
    </w:p>
    <w:p w14:paraId="52E2E15C" w14:textId="68608E77" w:rsidR="006A509F" w:rsidRPr="00252754" w:rsidRDefault="001D4A66" w:rsidP="006A509F">
      <w:pPr>
        <w:spacing w:after="200"/>
        <w:rPr>
          <w:color w:val="2E74B5" w:themeColor="accent1" w:themeShade="BF"/>
        </w:rPr>
      </w:pPr>
      <w:r>
        <w:t xml:space="preserve">For more information regarding </w:t>
      </w:r>
      <w:r w:rsidR="001E5349">
        <w:t>STC</w:t>
      </w:r>
      <w:r w:rsidRPr="007E46D0">
        <w:t xml:space="preserve"> </w:t>
      </w:r>
      <w:r>
        <w:t xml:space="preserve">mandated withdrawal, refer to the </w:t>
      </w:r>
      <w:r w:rsidR="00633F69" w:rsidRPr="00252754">
        <w:rPr>
          <w:color w:val="2E74B5" w:themeColor="accent1" w:themeShade="BF"/>
        </w:rPr>
        <w:t>S3 Progress Monitoring Policy</w:t>
      </w:r>
      <w:r w:rsidRPr="00252754">
        <w:rPr>
          <w:color w:val="2E74B5" w:themeColor="accent1" w:themeShade="BF"/>
        </w:rPr>
        <w:t>.</w:t>
      </w:r>
    </w:p>
    <w:p w14:paraId="64EC5997" w14:textId="77777777" w:rsidR="006A509F" w:rsidRDefault="006A509F" w:rsidP="001D682A">
      <w:pPr>
        <w:pStyle w:val="Heading1"/>
      </w:pPr>
      <w:r>
        <w:t xml:space="preserve">Government funded courses </w:t>
      </w:r>
    </w:p>
    <w:p w14:paraId="74753983" w14:textId="3CF3F586" w:rsidR="001A07B1" w:rsidRDefault="001A07B1" w:rsidP="001A07B1">
      <w:pPr>
        <w:pStyle w:val="Heading2"/>
      </w:pPr>
      <w:r>
        <w:t>Learner Cancellation (excluding apprenticeships)</w:t>
      </w:r>
    </w:p>
    <w:p w14:paraId="4EB46ACF" w14:textId="4A807421" w:rsidR="001A07B1" w:rsidRDefault="001A07B1" w:rsidP="001A07B1">
      <w:r>
        <w:t>Learners who want to cancel their enrolment in a government funded course must apply in writing.</w:t>
      </w:r>
    </w:p>
    <w:p w14:paraId="19C48995" w14:textId="761EDFDB" w:rsidR="001A07B1" w:rsidRDefault="001A07B1" w:rsidP="001A07B1">
      <w:r>
        <w:t>Refunds will be calculated according to the following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642"/>
      </w:tblGrid>
      <w:tr w:rsidR="001A07B1" w14:paraId="4911C37A" w14:textId="77777777" w:rsidTr="00722E95">
        <w:tc>
          <w:tcPr>
            <w:tcW w:w="3256" w:type="dxa"/>
          </w:tcPr>
          <w:p w14:paraId="691B0FE3" w14:textId="6E8F9068" w:rsidR="001A07B1" w:rsidRPr="001A07B1" w:rsidRDefault="001A07B1" w:rsidP="001A07B1">
            <w:pPr>
              <w:jc w:val="center"/>
              <w:rPr>
                <w:b/>
              </w:rPr>
            </w:pPr>
            <w:r>
              <w:rPr>
                <w:b/>
              </w:rPr>
              <w:t>Number of days’ notice</w:t>
            </w:r>
          </w:p>
        </w:tc>
        <w:tc>
          <w:tcPr>
            <w:tcW w:w="3118" w:type="dxa"/>
          </w:tcPr>
          <w:p w14:paraId="4E3D7352" w14:textId="14A3DB6C" w:rsidR="001A07B1" w:rsidRPr="001A07B1" w:rsidRDefault="001A07B1" w:rsidP="001A07B1">
            <w:pPr>
              <w:jc w:val="center"/>
              <w:rPr>
                <w:b/>
              </w:rPr>
            </w:pPr>
            <w:r w:rsidRPr="001A07B1">
              <w:rPr>
                <w:b/>
              </w:rPr>
              <w:t>Refund</w:t>
            </w:r>
          </w:p>
        </w:tc>
        <w:tc>
          <w:tcPr>
            <w:tcW w:w="2642" w:type="dxa"/>
          </w:tcPr>
          <w:p w14:paraId="267DF44C" w14:textId="6D25789A" w:rsidR="001A07B1" w:rsidRPr="001A07B1" w:rsidRDefault="001A07B1" w:rsidP="001A07B1">
            <w:pPr>
              <w:jc w:val="center"/>
              <w:rPr>
                <w:b/>
              </w:rPr>
            </w:pPr>
            <w:r>
              <w:rPr>
                <w:b/>
              </w:rPr>
              <w:t>Administration charge</w:t>
            </w:r>
          </w:p>
        </w:tc>
      </w:tr>
      <w:tr w:rsidR="001A07B1" w14:paraId="4E321EFC" w14:textId="77777777" w:rsidTr="00722E95">
        <w:tc>
          <w:tcPr>
            <w:tcW w:w="3256" w:type="dxa"/>
          </w:tcPr>
          <w:p w14:paraId="4984FE2E" w14:textId="2CC09804" w:rsidR="001A07B1" w:rsidRDefault="001A07B1" w:rsidP="001A07B1">
            <w:r>
              <w:t>More than 10 days before course starts</w:t>
            </w:r>
          </w:p>
        </w:tc>
        <w:tc>
          <w:tcPr>
            <w:tcW w:w="3118" w:type="dxa"/>
          </w:tcPr>
          <w:p w14:paraId="0E1802E8" w14:textId="73948E4B" w:rsidR="001A07B1" w:rsidRDefault="001A07B1" w:rsidP="001A07B1">
            <w:r>
              <w:t>Full refund of all fees</w:t>
            </w:r>
          </w:p>
        </w:tc>
        <w:tc>
          <w:tcPr>
            <w:tcW w:w="2642" w:type="dxa"/>
          </w:tcPr>
          <w:p w14:paraId="4A3429BD" w14:textId="2523BFF8" w:rsidR="001A07B1" w:rsidRDefault="001A07B1" w:rsidP="001A07B1">
            <w:pPr>
              <w:jc w:val="center"/>
            </w:pPr>
            <w:r>
              <w:t>$75</w:t>
            </w:r>
          </w:p>
        </w:tc>
      </w:tr>
      <w:tr w:rsidR="001A07B1" w14:paraId="3559667D" w14:textId="77777777" w:rsidTr="00722E95">
        <w:tc>
          <w:tcPr>
            <w:tcW w:w="3256" w:type="dxa"/>
          </w:tcPr>
          <w:p w14:paraId="73DB95E4" w14:textId="78C0EE08" w:rsidR="001A07B1" w:rsidRDefault="001A07B1" w:rsidP="001A07B1">
            <w:r>
              <w:t>Within 10 days of course starting</w:t>
            </w:r>
          </w:p>
        </w:tc>
        <w:tc>
          <w:tcPr>
            <w:tcW w:w="3118" w:type="dxa"/>
          </w:tcPr>
          <w:p w14:paraId="48F502C8" w14:textId="77777777" w:rsidR="001A07B1" w:rsidRDefault="001A07B1" w:rsidP="001A07B1">
            <w:r>
              <w:t>Refund of tuition fees only</w:t>
            </w:r>
          </w:p>
          <w:p w14:paraId="4A123EB1" w14:textId="7A788287" w:rsidR="001A07B1" w:rsidRDefault="001A07B1" w:rsidP="001A07B1">
            <w:r>
              <w:t>No refund of materials fee</w:t>
            </w:r>
          </w:p>
        </w:tc>
        <w:tc>
          <w:tcPr>
            <w:tcW w:w="2642" w:type="dxa"/>
          </w:tcPr>
          <w:p w14:paraId="38FBF7AC" w14:textId="67885626" w:rsidR="001A07B1" w:rsidRDefault="001A07B1" w:rsidP="001A07B1">
            <w:pPr>
              <w:jc w:val="center"/>
            </w:pPr>
            <w:r>
              <w:t>$75</w:t>
            </w:r>
          </w:p>
        </w:tc>
      </w:tr>
      <w:tr w:rsidR="001A07B1" w14:paraId="59839C70" w14:textId="77777777" w:rsidTr="00722E95">
        <w:tc>
          <w:tcPr>
            <w:tcW w:w="3256" w:type="dxa"/>
          </w:tcPr>
          <w:p w14:paraId="41BD9D8E" w14:textId="7C346701" w:rsidR="001A07B1" w:rsidRDefault="001A07B1" w:rsidP="001A07B1">
            <w:r>
              <w:t>Within 28 days of starting course</w:t>
            </w:r>
          </w:p>
        </w:tc>
        <w:tc>
          <w:tcPr>
            <w:tcW w:w="3118" w:type="dxa"/>
          </w:tcPr>
          <w:p w14:paraId="52260875" w14:textId="77777777" w:rsidR="00722E95" w:rsidRDefault="001A07B1" w:rsidP="001A07B1">
            <w:r>
              <w:t xml:space="preserve">Pro rata refund </w:t>
            </w:r>
            <w:r w:rsidR="00722E95">
              <w:t>of tuition fees (based on $2 per hour for hours scheduled will be withheld)</w:t>
            </w:r>
          </w:p>
          <w:p w14:paraId="225229C1" w14:textId="0484F75C" w:rsidR="001A07B1" w:rsidRDefault="00722E95" w:rsidP="001A07B1">
            <w:r>
              <w:t xml:space="preserve"> No refund of materials fee</w:t>
            </w:r>
          </w:p>
        </w:tc>
        <w:tc>
          <w:tcPr>
            <w:tcW w:w="2642" w:type="dxa"/>
          </w:tcPr>
          <w:p w14:paraId="45188A6F" w14:textId="745DCD76" w:rsidR="001A07B1" w:rsidRDefault="001A07B1" w:rsidP="001A07B1">
            <w:pPr>
              <w:jc w:val="center"/>
            </w:pPr>
            <w:r>
              <w:t>$75</w:t>
            </w:r>
          </w:p>
        </w:tc>
      </w:tr>
      <w:tr w:rsidR="001A07B1" w14:paraId="5B37FB80" w14:textId="77777777" w:rsidTr="00722E95">
        <w:tc>
          <w:tcPr>
            <w:tcW w:w="3256" w:type="dxa"/>
          </w:tcPr>
          <w:p w14:paraId="291565E8" w14:textId="7C122F94" w:rsidR="001A07B1" w:rsidRDefault="00722E95" w:rsidP="001A07B1">
            <w:r>
              <w:t>More than 28 days after starting course</w:t>
            </w:r>
          </w:p>
        </w:tc>
        <w:tc>
          <w:tcPr>
            <w:tcW w:w="3118" w:type="dxa"/>
          </w:tcPr>
          <w:p w14:paraId="34F33A5E" w14:textId="60B83294" w:rsidR="001A07B1" w:rsidRDefault="00722E95" w:rsidP="001A07B1">
            <w:r>
              <w:t>No refund of any fees</w:t>
            </w:r>
          </w:p>
        </w:tc>
        <w:tc>
          <w:tcPr>
            <w:tcW w:w="2642" w:type="dxa"/>
          </w:tcPr>
          <w:p w14:paraId="7212EDC1" w14:textId="77777777" w:rsidR="001A07B1" w:rsidRDefault="001A07B1" w:rsidP="001A07B1">
            <w:pPr>
              <w:jc w:val="center"/>
            </w:pPr>
          </w:p>
        </w:tc>
      </w:tr>
    </w:tbl>
    <w:p w14:paraId="197ECE05" w14:textId="77777777" w:rsidR="001A07B1" w:rsidRDefault="001A07B1" w:rsidP="001A07B1"/>
    <w:p w14:paraId="157954AD" w14:textId="0FD74E5C" w:rsidR="00722E95" w:rsidRDefault="00722E95" w:rsidP="001A07B1">
      <w:r>
        <w:t xml:space="preserve">In all cases, tools purchased through </w:t>
      </w:r>
      <w:r w:rsidR="001E5349">
        <w:t>STC</w:t>
      </w:r>
      <w:r>
        <w:t xml:space="preserve"> must be unopened and unused to claim tool refund.</w:t>
      </w:r>
    </w:p>
    <w:p w14:paraId="56A487E3" w14:textId="18B41D51" w:rsidR="001A07B1" w:rsidRPr="001A07B1" w:rsidRDefault="00722E95" w:rsidP="001A07B1">
      <w:r>
        <w:t xml:space="preserve">The </w:t>
      </w:r>
      <w:r w:rsidR="001E5349">
        <w:t>Operations</w:t>
      </w:r>
      <w:r>
        <w:t xml:space="preserve"> Manager may exercise the right to amend or negotiate fee </w:t>
      </w:r>
      <w:r w:rsidR="000647FB">
        <w:t>refunds in exceptional circumstances beyond the control of the learner.</w:t>
      </w:r>
    </w:p>
    <w:p w14:paraId="3EE9D1F0" w14:textId="77777777" w:rsidR="006A509F" w:rsidRPr="00A776D6" w:rsidRDefault="006A509F" w:rsidP="001D682A">
      <w:pPr>
        <w:pStyle w:val="Heading2"/>
      </w:pPr>
      <w:bookmarkStart w:id="4" w:name="_Toc389227806"/>
      <w:r w:rsidRPr="00A776D6">
        <w:t>Substitution and deferment</w:t>
      </w:r>
      <w:bookmarkEnd w:id="4"/>
      <w:r w:rsidRPr="00A776D6">
        <w:t xml:space="preserve"> </w:t>
      </w:r>
    </w:p>
    <w:p w14:paraId="2B8A288F" w14:textId="70AC5396" w:rsidR="006A509F" w:rsidRDefault="006A509F" w:rsidP="007219D7">
      <w:r w:rsidRPr="00A776D6">
        <w:t>Learner substitutions are not permitted.</w:t>
      </w:r>
      <w:r w:rsidR="002B2638">
        <w:t xml:space="preserve"> </w:t>
      </w:r>
      <w:r w:rsidRPr="001D682A">
        <w:t>Learner deferment may be possible in exceptional circumstances beyond the control of the learner</w:t>
      </w:r>
      <w:r w:rsidR="002B2638">
        <w:t>,</w:t>
      </w:r>
      <w:r w:rsidRPr="001D682A">
        <w:t xml:space="preserve"> at the discretion of the </w:t>
      </w:r>
      <w:r w:rsidR="002048C6">
        <w:t>Operations Manager</w:t>
      </w:r>
      <w:r w:rsidR="001D682A">
        <w:t xml:space="preserve"> or authorised delegate</w:t>
      </w:r>
      <w:r w:rsidRPr="001D682A">
        <w:t>.</w:t>
      </w:r>
    </w:p>
    <w:p w14:paraId="6E42B017" w14:textId="77777777" w:rsidR="00F96DB8" w:rsidRDefault="000C2159" w:rsidP="000C2159">
      <w:pPr>
        <w:pStyle w:val="Heading1"/>
      </w:pPr>
      <w:r>
        <w:t>Supporting Processes</w:t>
      </w:r>
    </w:p>
    <w:p w14:paraId="0F6A60C3" w14:textId="77777777" w:rsidR="008415BA" w:rsidRDefault="008415BA" w:rsidP="008415BA">
      <w:r>
        <w:t>The following processes are defined to ensure these policy requirements are met: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415BA" w14:paraId="4F3CC591" w14:textId="77777777" w:rsidTr="005D1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F0EDCCC" w14:textId="77777777" w:rsidR="008415BA" w:rsidRDefault="008415BA" w:rsidP="008415BA">
            <w:r>
              <w:lastRenderedPageBreak/>
              <w:t>Process Name</w:t>
            </w:r>
          </w:p>
        </w:tc>
        <w:tc>
          <w:tcPr>
            <w:tcW w:w="5760" w:type="dxa"/>
          </w:tcPr>
          <w:p w14:paraId="783974A5" w14:textId="77777777" w:rsidR="008415BA" w:rsidRDefault="008415BA" w:rsidP="008415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A760F6" w14:paraId="78E921B4" w14:textId="77777777" w:rsidTr="00A76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9742D9B" w14:textId="77777777" w:rsidR="00A760F6" w:rsidRDefault="00A760F6" w:rsidP="00A760F6"/>
        </w:tc>
        <w:tc>
          <w:tcPr>
            <w:tcW w:w="5760" w:type="dxa"/>
            <w:vAlign w:val="center"/>
          </w:tcPr>
          <w:p w14:paraId="29067CA9" w14:textId="77777777" w:rsidR="00A760F6" w:rsidRDefault="00A760F6" w:rsidP="00A76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1A39" w14:paraId="584BDA1A" w14:textId="77777777" w:rsidTr="00A76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22BEED14" w14:textId="77777777" w:rsidR="007E1A39" w:rsidRDefault="007E1A39" w:rsidP="00A760F6"/>
        </w:tc>
        <w:tc>
          <w:tcPr>
            <w:tcW w:w="5760" w:type="dxa"/>
            <w:vAlign w:val="center"/>
          </w:tcPr>
          <w:p w14:paraId="1199E751" w14:textId="77777777" w:rsidR="007E1A39" w:rsidRDefault="007E1A39" w:rsidP="00A7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FB02D1" w14:textId="77777777" w:rsidR="000C2159" w:rsidRDefault="000C2159" w:rsidP="000C2159">
      <w:pPr>
        <w:pStyle w:val="Heading1"/>
      </w:pPr>
      <w:r>
        <w:t>Supporting Forms and Documents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8415BA" w14:paraId="66814979" w14:textId="77777777" w:rsidTr="005D1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A7F0ED" w14:textId="77777777" w:rsidR="008415BA" w:rsidRDefault="008415BA" w:rsidP="008415BA">
            <w:r>
              <w:t>Document Identifier</w:t>
            </w:r>
          </w:p>
        </w:tc>
        <w:tc>
          <w:tcPr>
            <w:tcW w:w="6894" w:type="dxa"/>
          </w:tcPr>
          <w:p w14:paraId="0DD2AE9C" w14:textId="77777777" w:rsidR="008415BA" w:rsidRDefault="008415BA" w:rsidP="00CE25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</w:tr>
      <w:tr w:rsidR="008415BA" w14:paraId="20448C85" w14:textId="77777777" w:rsidTr="00A76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8EC86A5" w14:textId="47306AFA" w:rsidR="008415BA" w:rsidRPr="00B12EDF" w:rsidRDefault="00FD6215" w:rsidP="00A760F6">
            <w:pPr>
              <w:rPr>
                <w:b w:val="0"/>
              </w:rPr>
            </w:pPr>
            <w:r>
              <w:rPr>
                <w:b w:val="0"/>
              </w:rPr>
              <w:t>E_FM01</w:t>
            </w:r>
          </w:p>
        </w:tc>
        <w:tc>
          <w:tcPr>
            <w:tcW w:w="6894" w:type="dxa"/>
            <w:vAlign w:val="center"/>
          </w:tcPr>
          <w:p w14:paraId="74F619B1" w14:textId="725E5053" w:rsidR="008415BA" w:rsidRDefault="00B12EDF" w:rsidP="00A760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Refund Request Form</w:t>
            </w:r>
          </w:p>
        </w:tc>
      </w:tr>
      <w:tr w:rsidR="008415BA" w14:paraId="22FBCE76" w14:textId="77777777" w:rsidTr="00A760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Align w:val="center"/>
          </w:tcPr>
          <w:p w14:paraId="00CF8F7B" w14:textId="77777777" w:rsidR="008415BA" w:rsidRDefault="008415BA" w:rsidP="00A760F6"/>
        </w:tc>
        <w:tc>
          <w:tcPr>
            <w:tcW w:w="6894" w:type="dxa"/>
            <w:vAlign w:val="center"/>
          </w:tcPr>
          <w:p w14:paraId="35C007E6" w14:textId="77777777" w:rsidR="008415BA" w:rsidRDefault="008415BA" w:rsidP="00A76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12C43E2" w14:textId="77777777" w:rsidR="000F2CFE" w:rsidRDefault="000F2CFE" w:rsidP="000F2CFE">
      <w:pPr>
        <w:pStyle w:val="Heading1"/>
      </w:pPr>
      <w:r>
        <w:t>Evidence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0F2CFE" w14:paraId="647F548B" w14:textId="77777777" w:rsidTr="00004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A3505BA" w14:textId="77777777" w:rsidR="000F2CFE" w:rsidRDefault="000F2CFE" w:rsidP="00A45C42">
            <w:r>
              <w:t>Source</w:t>
            </w:r>
          </w:p>
        </w:tc>
        <w:tc>
          <w:tcPr>
            <w:tcW w:w="5760" w:type="dxa"/>
          </w:tcPr>
          <w:p w14:paraId="2F297522" w14:textId="77777777" w:rsidR="000F2CFE" w:rsidRDefault="000F2CFE" w:rsidP="00A45C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Demonstrating</w:t>
            </w:r>
          </w:p>
        </w:tc>
      </w:tr>
      <w:tr w:rsidR="000F2CFE" w14:paraId="571FA0A0" w14:textId="77777777" w:rsidTr="00004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3DB455F" w14:textId="5467BFC2" w:rsidR="000F2CFE" w:rsidRPr="00004C1D" w:rsidRDefault="00004C1D" w:rsidP="00A45C42">
            <w:pPr>
              <w:rPr>
                <w:b w:val="0"/>
              </w:rPr>
            </w:pPr>
            <w:r>
              <w:rPr>
                <w:b w:val="0"/>
              </w:rPr>
              <w:t>Completed Refund Request Form</w:t>
            </w:r>
          </w:p>
        </w:tc>
        <w:tc>
          <w:tcPr>
            <w:tcW w:w="5760" w:type="dxa"/>
          </w:tcPr>
          <w:p w14:paraId="0E00FE12" w14:textId="5E044934" w:rsidR="000F2CFE" w:rsidRDefault="00004C1D" w:rsidP="00A45C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Outcome of Refund Request</w:t>
            </w:r>
          </w:p>
        </w:tc>
      </w:tr>
      <w:tr w:rsidR="000F2CFE" w14:paraId="4A2B18EF" w14:textId="77777777" w:rsidTr="00004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361FAC8" w14:textId="77777777" w:rsidR="000F2CFE" w:rsidRDefault="000F2CFE" w:rsidP="00A45C42"/>
        </w:tc>
        <w:tc>
          <w:tcPr>
            <w:tcW w:w="5760" w:type="dxa"/>
          </w:tcPr>
          <w:p w14:paraId="10DEB0A3" w14:textId="77777777" w:rsidR="000F2CFE" w:rsidRDefault="000F2CFE" w:rsidP="00A45C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26859BE" w14:textId="77777777" w:rsidR="00AF7802" w:rsidRDefault="00AF7802" w:rsidP="00AF7802">
      <w:pPr>
        <w:jc w:val="center"/>
      </w:pPr>
      <w:r w:rsidRPr="005D18D1">
        <w:t>--- End of Policy ---</w:t>
      </w:r>
    </w:p>
    <w:p w14:paraId="2847D4D2" w14:textId="77777777" w:rsidR="00AF7802" w:rsidRDefault="00AF7802" w:rsidP="00AF7802">
      <w:pPr>
        <w:pStyle w:val="Heading1"/>
      </w:pPr>
      <w:r>
        <w:t>Version Control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129"/>
        <w:gridCol w:w="1442"/>
        <w:gridCol w:w="6445"/>
      </w:tblGrid>
      <w:tr w:rsidR="00AF7802" w14:paraId="05C35ABA" w14:textId="77777777" w:rsidTr="000753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6BC4D6F" w14:textId="77777777" w:rsidR="00AF7802" w:rsidRDefault="00AF7802" w:rsidP="0007533E">
            <w:pPr>
              <w:jc w:val="center"/>
            </w:pPr>
            <w:r>
              <w:t>Version #</w:t>
            </w:r>
          </w:p>
        </w:tc>
        <w:tc>
          <w:tcPr>
            <w:tcW w:w="1442" w:type="dxa"/>
          </w:tcPr>
          <w:p w14:paraId="60F390A9" w14:textId="77777777" w:rsidR="00AF7802" w:rsidRDefault="00AF7802" w:rsidP="000753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6445" w:type="dxa"/>
          </w:tcPr>
          <w:p w14:paraId="7B018E77" w14:textId="77777777" w:rsidR="00AF7802" w:rsidRDefault="00AF7802" w:rsidP="000753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Changes</w:t>
            </w:r>
          </w:p>
        </w:tc>
      </w:tr>
      <w:tr w:rsidR="00AF7802" w14:paraId="3C5D1209" w14:textId="77777777" w:rsidTr="0007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27C4FD6" w14:textId="77777777" w:rsidR="00AF7802" w:rsidRPr="00633F69" w:rsidRDefault="00AF7802" w:rsidP="0007533E">
            <w:pPr>
              <w:jc w:val="center"/>
              <w:rPr>
                <w:b w:val="0"/>
              </w:rPr>
            </w:pPr>
            <w:r w:rsidRPr="00633F69">
              <w:rPr>
                <w:b w:val="0"/>
              </w:rPr>
              <w:t>1</w:t>
            </w:r>
            <w:r w:rsidR="002B2638" w:rsidRPr="00633F69">
              <w:rPr>
                <w:b w:val="0"/>
              </w:rPr>
              <w:t>.0</w:t>
            </w:r>
          </w:p>
        </w:tc>
        <w:tc>
          <w:tcPr>
            <w:tcW w:w="1442" w:type="dxa"/>
          </w:tcPr>
          <w:p w14:paraId="660F9C68" w14:textId="13225711" w:rsidR="00AF7802" w:rsidRDefault="00633F69" w:rsidP="0007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27/10</w:t>
            </w:r>
            <w:r w:rsidR="002B2638">
              <w:t>/2017</w:t>
            </w:r>
          </w:p>
        </w:tc>
        <w:tc>
          <w:tcPr>
            <w:tcW w:w="6445" w:type="dxa"/>
          </w:tcPr>
          <w:p w14:paraId="7FF02F8C" w14:textId="77D0A096" w:rsidR="00AF7802" w:rsidRDefault="00633F69" w:rsidP="00075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release</w:t>
            </w:r>
          </w:p>
        </w:tc>
      </w:tr>
      <w:tr w:rsidR="00AF7802" w14:paraId="0241D052" w14:textId="77777777" w:rsidTr="000753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989A6A1" w14:textId="0D85C03B" w:rsidR="00AF7802" w:rsidRPr="007219D7" w:rsidRDefault="0058603F" w:rsidP="0007533E">
            <w:pPr>
              <w:jc w:val="center"/>
              <w:rPr>
                <w:b w:val="0"/>
              </w:rPr>
            </w:pPr>
            <w:r>
              <w:rPr>
                <w:b w:val="0"/>
              </w:rPr>
              <w:t>2.0</w:t>
            </w:r>
          </w:p>
        </w:tc>
        <w:tc>
          <w:tcPr>
            <w:tcW w:w="1442" w:type="dxa"/>
          </w:tcPr>
          <w:p w14:paraId="10CA53A5" w14:textId="1C713DA0" w:rsidR="00AF7802" w:rsidRDefault="0058603F" w:rsidP="000753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24/04/2018</w:t>
            </w:r>
          </w:p>
        </w:tc>
        <w:tc>
          <w:tcPr>
            <w:tcW w:w="6445" w:type="dxa"/>
          </w:tcPr>
          <w:p w14:paraId="3CF79CA9" w14:textId="3F55D747" w:rsidR="00AF7802" w:rsidRDefault="0058603F" w:rsidP="000753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 information re Refund Request Form and Online/correspondence courses</w:t>
            </w:r>
          </w:p>
        </w:tc>
      </w:tr>
      <w:tr w:rsidR="001E5349" w14:paraId="7E20C0BD" w14:textId="77777777" w:rsidTr="00075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88AB7C" w14:textId="43221C60" w:rsidR="001E5349" w:rsidRDefault="001E5349" w:rsidP="0007533E">
            <w:pPr>
              <w:jc w:val="center"/>
            </w:pPr>
            <w:r>
              <w:t>2.1</w:t>
            </w:r>
          </w:p>
        </w:tc>
        <w:tc>
          <w:tcPr>
            <w:tcW w:w="1442" w:type="dxa"/>
          </w:tcPr>
          <w:p w14:paraId="43276BDE" w14:textId="3AF2980C" w:rsidR="001E5349" w:rsidRDefault="001E5349" w:rsidP="000753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5/11/2021</w:t>
            </w:r>
          </w:p>
        </w:tc>
        <w:tc>
          <w:tcPr>
            <w:tcW w:w="6445" w:type="dxa"/>
          </w:tcPr>
          <w:p w14:paraId="5A6209D9" w14:textId="450B43D4" w:rsidR="001E5349" w:rsidRDefault="001E5349" w:rsidP="000753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Reviewed. </w:t>
            </w:r>
          </w:p>
        </w:tc>
      </w:tr>
    </w:tbl>
    <w:p w14:paraId="35F22FFF" w14:textId="77777777" w:rsidR="002858F5" w:rsidRPr="001D0280" w:rsidRDefault="002858F5"/>
    <w:sectPr w:rsidR="002858F5" w:rsidRPr="001D0280" w:rsidSect="006E61DB">
      <w:headerReference w:type="default" r:id="rId8"/>
      <w:footerReference w:type="default" r:id="rId9"/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40235" w14:textId="77777777" w:rsidR="00087831" w:rsidRDefault="00087831" w:rsidP="000C2159">
      <w:pPr>
        <w:spacing w:after="0" w:line="240" w:lineRule="auto"/>
      </w:pPr>
      <w:r>
        <w:separator/>
      </w:r>
    </w:p>
  </w:endnote>
  <w:endnote w:type="continuationSeparator" w:id="0">
    <w:p w14:paraId="247EB325" w14:textId="77777777" w:rsidR="00087831" w:rsidRDefault="00087831" w:rsidP="000C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o Sans Std Medium">
    <w:altName w:val="Neo Sans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o Sans Std Light">
    <w:altName w:val="Neo Sans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FF035" w14:textId="69654B6E" w:rsidR="006E61DB" w:rsidRDefault="006E61DB" w:rsidP="006E61DB">
    <w:pPr>
      <w:pStyle w:val="Footer"/>
      <w:pBdr>
        <w:top w:val="single" w:sz="4" w:space="1" w:color="525252" w:themeColor="accent3" w:themeShade="80"/>
      </w:pBdr>
      <w:tabs>
        <w:tab w:val="clear" w:pos="9026"/>
        <w:tab w:val="right" w:pos="8931"/>
      </w:tabs>
      <w:rPr>
        <w:color w:val="1F4E79" w:themeColor="accent1" w:themeShade="80"/>
        <w:sz w:val="18"/>
      </w:rPr>
    </w:pPr>
    <w:r w:rsidRPr="006E61DB">
      <w:rPr>
        <w:color w:val="1F4E79" w:themeColor="accent1" w:themeShade="80"/>
        <w:sz w:val="18"/>
      </w:rPr>
      <w:fldChar w:fldCharType="begin"/>
    </w:r>
    <w:r w:rsidRPr="006E61DB">
      <w:rPr>
        <w:color w:val="1F4E79" w:themeColor="accent1" w:themeShade="80"/>
        <w:sz w:val="18"/>
      </w:rPr>
      <w:instrText xml:space="preserve"> FILENAME   \* MERGEFORMAT </w:instrText>
    </w:r>
    <w:r w:rsidRPr="006E61DB">
      <w:rPr>
        <w:color w:val="1F4E79" w:themeColor="accent1" w:themeShade="80"/>
        <w:sz w:val="18"/>
      </w:rPr>
      <w:fldChar w:fldCharType="separate"/>
    </w:r>
    <w:r w:rsidR="005C75C6">
      <w:rPr>
        <w:noProof/>
        <w:color w:val="1F4E79" w:themeColor="accent1" w:themeShade="80"/>
        <w:sz w:val="18"/>
      </w:rPr>
      <w:t>E4 Refunds and Cancellation Policy</w:t>
    </w:r>
    <w:r w:rsidRPr="006E61DB">
      <w:rPr>
        <w:color w:val="1F4E79" w:themeColor="accent1" w:themeShade="80"/>
        <w:sz w:val="18"/>
      </w:rPr>
      <w:fldChar w:fldCharType="end"/>
    </w:r>
    <w:r w:rsidRPr="006E61DB">
      <w:rPr>
        <w:color w:val="1F4E79" w:themeColor="accent1" w:themeShade="80"/>
        <w:sz w:val="18"/>
      </w:rPr>
      <w:t xml:space="preserve"> </w:t>
    </w:r>
    <w:r w:rsidRPr="006E61DB">
      <w:rPr>
        <w:color w:val="1F4E79" w:themeColor="accent1" w:themeShade="80"/>
        <w:sz w:val="18"/>
      </w:rPr>
      <w:tab/>
    </w:r>
    <w:r w:rsidRPr="006E61DB">
      <w:rPr>
        <w:color w:val="1F4E79" w:themeColor="accent1" w:themeShade="80"/>
        <w:sz w:val="18"/>
      </w:rPr>
      <w:tab/>
      <w:t xml:space="preserve">Page </w:t>
    </w:r>
    <w:r w:rsidRPr="006E61DB">
      <w:rPr>
        <w:color w:val="1F4E79" w:themeColor="accent1" w:themeShade="80"/>
        <w:sz w:val="18"/>
      </w:rPr>
      <w:fldChar w:fldCharType="begin"/>
    </w:r>
    <w:r w:rsidRPr="006E61DB">
      <w:rPr>
        <w:color w:val="1F4E79" w:themeColor="accent1" w:themeShade="80"/>
        <w:sz w:val="18"/>
      </w:rPr>
      <w:instrText xml:space="preserve"> PAGE   \* MERGEFORMAT </w:instrText>
    </w:r>
    <w:r w:rsidRPr="006E61DB">
      <w:rPr>
        <w:color w:val="1F4E79" w:themeColor="accent1" w:themeShade="80"/>
        <w:sz w:val="18"/>
      </w:rPr>
      <w:fldChar w:fldCharType="separate"/>
    </w:r>
    <w:r w:rsidR="005C75C6">
      <w:rPr>
        <w:noProof/>
        <w:color w:val="1F4E79" w:themeColor="accent1" w:themeShade="80"/>
        <w:sz w:val="18"/>
      </w:rPr>
      <w:t>3</w:t>
    </w:r>
    <w:r w:rsidRPr="006E61DB">
      <w:rPr>
        <w:color w:val="1F4E79" w:themeColor="accent1" w:themeShade="80"/>
        <w:sz w:val="18"/>
      </w:rPr>
      <w:fldChar w:fldCharType="end"/>
    </w:r>
    <w:r w:rsidRPr="006E61DB">
      <w:rPr>
        <w:color w:val="1F4E79" w:themeColor="accent1" w:themeShade="80"/>
        <w:sz w:val="18"/>
      </w:rPr>
      <w:t xml:space="preserve"> of </w:t>
    </w:r>
    <w:r w:rsidRPr="006E61DB">
      <w:rPr>
        <w:color w:val="1F4E79" w:themeColor="accent1" w:themeShade="80"/>
        <w:sz w:val="18"/>
      </w:rPr>
      <w:fldChar w:fldCharType="begin"/>
    </w:r>
    <w:r w:rsidRPr="006E61DB">
      <w:rPr>
        <w:color w:val="1F4E79" w:themeColor="accent1" w:themeShade="80"/>
        <w:sz w:val="18"/>
      </w:rPr>
      <w:instrText xml:space="preserve"> NUMPAGES   \* MERGEFORMAT </w:instrText>
    </w:r>
    <w:r w:rsidRPr="006E61DB">
      <w:rPr>
        <w:color w:val="1F4E79" w:themeColor="accent1" w:themeShade="80"/>
        <w:sz w:val="18"/>
      </w:rPr>
      <w:fldChar w:fldCharType="separate"/>
    </w:r>
    <w:r w:rsidR="005C75C6">
      <w:rPr>
        <w:noProof/>
        <w:color w:val="1F4E79" w:themeColor="accent1" w:themeShade="80"/>
        <w:sz w:val="18"/>
      </w:rPr>
      <w:t>3</w:t>
    </w:r>
    <w:r w:rsidRPr="006E61DB">
      <w:rPr>
        <w:color w:val="1F4E79" w:themeColor="accent1" w:themeShade="80"/>
        <w:sz w:val="18"/>
      </w:rPr>
      <w:fldChar w:fldCharType="end"/>
    </w:r>
  </w:p>
  <w:p w14:paraId="3B7EFCBE" w14:textId="4BC89D5B" w:rsidR="006E61DB" w:rsidRPr="006E61DB" w:rsidRDefault="006E61DB" w:rsidP="006E61DB">
    <w:pPr>
      <w:pStyle w:val="Footer"/>
      <w:pBdr>
        <w:top w:val="single" w:sz="4" w:space="1" w:color="525252" w:themeColor="accent3" w:themeShade="80"/>
      </w:pBdr>
      <w:tabs>
        <w:tab w:val="clear" w:pos="9026"/>
        <w:tab w:val="right" w:pos="8931"/>
      </w:tabs>
      <w:rPr>
        <w:color w:val="1F4E79" w:themeColor="accent1" w:themeShade="80"/>
        <w:sz w:val="18"/>
      </w:rPr>
    </w:pPr>
    <w:r>
      <w:rPr>
        <w:color w:val="1F4E79" w:themeColor="accent1" w:themeShade="80"/>
        <w:sz w:val="18"/>
      </w:rPr>
      <w:t xml:space="preserve">Edited Date: </w:t>
    </w:r>
    <w:r>
      <w:rPr>
        <w:color w:val="1F4E79" w:themeColor="accent1" w:themeShade="80"/>
        <w:sz w:val="18"/>
      </w:rPr>
      <w:fldChar w:fldCharType="begin"/>
    </w:r>
    <w:r>
      <w:rPr>
        <w:color w:val="1F4E79" w:themeColor="accent1" w:themeShade="80"/>
        <w:sz w:val="18"/>
      </w:rPr>
      <w:instrText xml:space="preserve"> SAVEDATE  \@ "d/MM/yyyy"  \* MERGEFORMAT </w:instrText>
    </w:r>
    <w:r>
      <w:rPr>
        <w:color w:val="1F4E79" w:themeColor="accent1" w:themeShade="80"/>
        <w:sz w:val="18"/>
      </w:rPr>
      <w:fldChar w:fldCharType="separate"/>
    </w:r>
    <w:r w:rsidR="001E5349">
      <w:rPr>
        <w:noProof/>
        <w:color w:val="1F4E79" w:themeColor="accent1" w:themeShade="80"/>
        <w:sz w:val="18"/>
      </w:rPr>
      <w:t>10/07/2018</w:t>
    </w:r>
    <w:r>
      <w:rPr>
        <w:color w:val="1F4E79" w:themeColor="accent1" w:themeShade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E2F245" w14:textId="77777777" w:rsidR="00087831" w:rsidRDefault="00087831" w:rsidP="000C2159">
      <w:pPr>
        <w:spacing w:after="0" w:line="240" w:lineRule="auto"/>
      </w:pPr>
      <w:r>
        <w:separator/>
      </w:r>
    </w:p>
  </w:footnote>
  <w:footnote w:type="continuationSeparator" w:id="0">
    <w:p w14:paraId="729607F3" w14:textId="77777777" w:rsidR="00087831" w:rsidRDefault="00087831" w:rsidP="000C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B9244" w14:textId="77777777" w:rsidR="000C2159" w:rsidRPr="000C2159" w:rsidRDefault="004C11F0" w:rsidP="000C2159">
    <w:pPr>
      <w:pStyle w:val="Header"/>
      <w:pBdr>
        <w:bottom w:val="single" w:sz="4" w:space="1" w:color="1F4E79" w:themeColor="accent1" w:themeShade="80"/>
      </w:pBdr>
      <w:jc w:val="right"/>
      <w:rPr>
        <w:color w:val="1F4E79" w:themeColor="accent1" w:themeShade="80"/>
      </w:rPr>
    </w:pPr>
    <w:r>
      <w:rPr>
        <w:noProof/>
        <w:color w:val="5B9BD5" w:themeColor="accent1"/>
        <w:lang w:eastAsia="en-AU"/>
      </w:rPr>
      <w:drawing>
        <wp:anchor distT="0" distB="0" distL="114300" distR="114300" simplePos="0" relativeHeight="251658240" behindDoc="0" locked="0" layoutInCell="1" allowOverlap="1" wp14:anchorId="1129C788" wp14:editId="2C9A9234">
          <wp:simplePos x="0" y="0"/>
          <wp:positionH relativeFrom="margin">
            <wp:posOffset>28575</wp:posOffset>
          </wp:positionH>
          <wp:positionV relativeFrom="paragraph">
            <wp:posOffset>-298450</wp:posOffset>
          </wp:positionV>
          <wp:extent cx="857250" cy="4286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terPlumb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36" cy="429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159">
      <w:rPr>
        <w:color w:val="1F4E79" w:themeColor="accent1" w:themeShade="80"/>
      </w:rPr>
      <w:t xml:space="preserve"> </w:t>
    </w:r>
    <w:r w:rsidR="000C2159">
      <w:rPr>
        <w:color w:val="1F4E79" w:themeColor="accent1" w:themeShade="80"/>
      </w:rPr>
      <w:fldChar w:fldCharType="begin"/>
    </w:r>
    <w:r w:rsidR="000C2159">
      <w:rPr>
        <w:color w:val="1F4E79" w:themeColor="accent1" w:themeShade="80"/>
      </w:rPr>
      <w:instrText xml:space="preserve"> DOCPROPERTY  SectionTitle  \* MERGEFORMAT </w:instrText>
    </w:r>
    <w:r w:rsidR="000C2159">
      <w:rPr>
        <w:color w:val="1F4E79" w:themeColor="accent1" w:themeShade="80"/>
      </w:rPr>
      <w:fldChar w:fldCharType="separate"/>
    </w:r>
    <w:r w:rsidR="005C75C6">
      <w:rPr>
        <w:color w:val="1F4E79" w:themeColor="accent1" w:themeShade="80"/>
      </w:rPr>
      <w:t>E4 Refunds and Cancellation</w:t>
    </w:r>
    <w:r w:rsidR="000C2159">
      <w:rPr>
        <w:color w:val="1F4E79" w:themeColor="accent1" w:themeShade="80"/>
      </w:rPr>
      <w:fldChar w:fldCharType="end"/>
    </w:r>
    <w:r w:rsidR="000C2159">
      <w:rPr>
        <w:color w:val="1F4E79" w:themeColor="accent1" w:themeShade="80"/>
      </w:rPr>
      <w:t xml:space="preserve"> Policy</w:t>
    </w:r>
    <w:r w:rsidR="006E61DB">
      <w:rPr>
        <w:color w:val="1F4E79" w:themeColor="accent1" w:themeShade="80"/>
      </w:rPr>
      <w:t xml:space="preserve"> </w:t>
    </w:r>
    <w:r w:rsidR="000C2159" w:rsidRPr="000C2159">
      <w:rPr>
        <w:color w:val="1F4E79" w:themeColor="accent1" w:themeShade="80"/>
      </w:rPr>
      <w:t xml:space="preserve">for </w:t>
    </w:r>
    <w:r w:rsidR="000C2159" w:rsidRPr="000C2159">
      <w:rPr>
        <w:color w:val="1F4E79" w:themeColor="accent1" w:themeShade="80"/>
      </w:rPr>
      <w:fldChar w:fldCharType="begin"/>
    </w:r>
    <w:r w:rsidR="000C2159" w:rsidRPr="000C2159">
      <w:rPr>
        <w:color w:val="1F4E79" w:themeColor="accent1" w:themeShade="80"/>
      </w:rPr>
      <w:instrText xml:space="preserve"> DOCPROPERTY  RTOShort  \* MERGEFORMAT </w:instrText>
    </w:r>
    <w:r w:rsidR="000C2159" w:rsidRPr="000C2159">
      <w:rPr>
        <w:color w:val="1F4E79" w:themeColor="accent1" w:themeShade="80"/>
      </w:rPr>
      <w:fldChar w:fldCharType="separate"/>
    </w:r>
    <w:r w:rsidR="005C75C6">
      <w:rPr>
        <w:color w:val="1F4E79" w:themeColor="accent1" w:themeShade="80"/>
      </w:rPr>
      <w:t>TSTCA</w:t>
    </w:r>
    <w:r w:rsidR="000C2159" w:rsidRPr="000C2159">
      <w:rPr>
        <w:color w:val="1F4E79" w:themeColor="accent1" w:themeShade="8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28F"/>
    <w:multiLevelType w:val="hybridMultilevel"/>
    <w:tmpl w:val="143A50CC"/>
    <w:lvl w:ilvl="0" w:tplc="C58C36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973CC"/>
    <w:multiLevelType w:val="hybridMultilevel"/>
    <w:tmpl w:val="6038D8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B6FBE"/>
    <w:multiLevelType w:val="hybridMultilevel"/>
    <w:tmpl w:val="DF50C1CA"/>
    <w:lvl w:ilvl="0" w:tplc="EA567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F41860"/>
    <w:multiLevelType w:val="hybridMultilevel"/>
    <w:tmpl w:val="027CAF42"/>
    <w:lvl w:ilvl="0" w:tplc="CA768B5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6224D"/>
    <w:multiLevelType w:val="hybridMultilevel"/>
    <w:tmpl w:val="D11CDB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26D65"/>
    <w:multiLevelType w:val="hybridMultilevel"/>
    <w:tmpl w:val="EAC88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EC11F2"/>
    <w:multiLevelType w:val="hybridMultilevel"/>
    <w:tmpl w:val="6F2ED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A509F"/>
    <w:multiLevelType w:val="hybridMultilevel"/>
    <w:tmpl w:val="4FFCE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47F80"/>
    <w:multiLevelType w:val="hybridMultilevel"/>
    <w:tmpl w:val="5922C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654FF"/>
    <w:multiLevelType w:val="hybridMultilevel"/>
    <w:tmpl w:val="7A9E8014"/>
    <w:lvl w:ilvl="0" w:tplc="7A78B0B8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8627929"/>
    <w:multiLevelType w:val="hybridMultilevel"/>
    <w:tmpl w:val="E53A6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947F6"/>
    <w:multiLevelType w:val="hybridMultilevel"/>
    <w:tmpl w:val="CB786F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8769A"/>
    <w:multiLevelType w:val="hybridMultilevel"/>
    <w:tmpl w:val="E4CD648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9A93E20"/>
    <w:multiLevelType w:val="hybridMultilevel"/>
    <w:tmpl w:val="472AA052"/>
    <w:lvl w:ilvl="0" w:tplc="0C090001">
      <w:start w:val="1"/>
      <w:numFmt w:val="bullet"/>
      <w:pStyle w:val="Dotpointla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91965"/>
    <w:multiLevelType w:val="hybridMultilevel"/>
    <w:tmpl w:val="557002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AE5BC0"/>
    <w:multiLevelType w:val="hybridMultilevel"/>
    <w:tmpl w:val="DAFEF22C"/>
    <w:lvl w:ilvl="0" w:tplc="774E874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71F35"/>
    <w:multiLevelType w:val="hybridMultilevel"/>
    <w:tmpl w:val="AB16FFC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D2CE6"/>
    <w:multiLevelType w:val="hybridMultilevel"/>
    <w:tmpl w:val="0CA43FB8"/>
    <w:lvl w:ilvl="0" w:tplc="677A3156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F6F1DAE"/>
    <w:multiLevelType w:val="hybridMultilevel"/>
    <w:tmpl w:val="2248716E"/>
    <w:lvl w:ilvl="0" w:tplc="7A78B0B8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C0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1D052BF"/>
    <w:multiLevelType w:val="hybridMultilevel"/>
    <w:tmpl w:val="4E6ABA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F0776"/>
    <w:multiLevelType w:val="hybridMultilevel"/>
    <w:tmpl w:val="DBC6C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0101F3"/>
    <w:multiLevelType w:val="hybridMultilevel"/>
    <w:tmpl w:val="ED2E9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61DC8"/>
    <w:multiLevelType w:val="hybridMultilevel"/>
    <w:tmpl w:val="31B4489A"/>
    <w:lvl w:ilvl="0" w:tplc="4882319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1E3B"/>
    <w:multiLevelType w:val="hybridMultilevel"/>
    <w:tmpl w:val="80F22798"/>
    <w:lvl w:ilvl="0" w:tplc="768693A8">
      <w:start w:val="1"/>
      <w:numFmt w:val="lowerRoman"/>
      <w:lvlText w:val="%1)"/>
      <w:lvlJc w:val="left"/>
      <w:pPr>
        <w:ind w:left="16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57" w:hanging="360"/>
      </w:pPr>
    </w:lvl>
    <w:lvl w:ilvl="2" w:tplc="0C09001B">
      <w:start w:val="1"/>
      <w:numFmt w:val="lowerRoman"/>
      <w:lvlText w:val="%3."/>
      <w:lvlJc w:val="right"/>
      <w:pPr>
        <w:ind w:left="3077" w:hanging="180"/>
      </w:pPr>
    </w:lvl>
    <w:lvl w:ilvl="3" w:tplc="0C09000F" w:tentative="1">
      <w:start w:val="1"/>
      <w:numFmt w:val="decimal"/>
      <w:lvlText w:val="%4."/>
      <w:lvlJc w:val="left"/>
      <w:pPr>
        <w:ind w:left="3797" w:hanging="360"/>
      </w:pPr>
    </w:lvl>
    <w:lvl w:ilvl="4" w:tplc="0C090019" w:tentative="1">
      <w:start w:val="1"/>
      <w:numFmt w:val="lowerLetter"/>
      <w:lvlText w:val="%5."/>
      <w:lvlJc w:val="left"/>
      <w:pPr>
        <w:ind w:left="4517" w:hanging="360"/>
      </w:pPr>
    </w:lvl>
    <w:lvl w:ilvl="5" w:tplc="0C09001B" w:tentative="1">
      <w:start w:val="1"/>
      <w:numFmt w:val="lowerRoman"/>
      <w:lvlText w:val="%6."/>
      <w:lvlJc w:val="right"/>
      <w:pPr>
        <w:ind w:left="5237" w:hanging="180"/>
      </w:pPr>
    </w:lvl>
    <w:lvl w:ilvl="6" w:tplc="0C09000F" w:tentative="1">
      <w:start w:val="1"/>
      <w:numFmt w:val="decimal"/>
      <w:lvlText w:val="%7."/>
      <w:lvlJc w:val="left"/>
      <w:pPr>
        <w:ind w:left="5957" w:hanging="360"/>
      </w:pPr>
    </w:lvl>
    <w:lvl w:ilvl="7" w:tplc="0C090019" w:tentative="1">
      <w:start w:val="1"/>
      <w:numFmt w:val="lowerLetter"/>
      <w:lvlText w:val="%8."/>
      <w:lvlJc w:val="left"/>
      <w:pPr>
        <w:ind w:left="6677" w:hanging="360"/>
      </w:pPr>
    </w:lvl>
    <w:lvl w:ilvl="8" w:tplc="0C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763B14B8"/>
    <w:multiLevelType w:val="multilevel"/>
    <w:tmpl w:val="05DAB5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A63729E"/>
    <w:multiLevelType w:val="multilevel"/>
    <w:tmpl w:val="0CBC006C"/>
    <w:lvl w:ilvl="0">
      <w:start w:val="1"/>
      <w:numFmt w:val="decimal"/>
      <w:pStyle w:val="Standard"/>
      <w:lvlText w:val="Standard %1."/>
      <w:lvlJc w:val="left"/>
      <w:pPr>
        <w:ind w:left="1211" w:hanging="360"/>
      </w:pPr>
      <w:rPr>
        <w:rFonts w:ascii="Arial Bold" w:hAnsi="Arial Bold" w:hint="default"/>
        <w:b/>
        <w:i w:val="0"/>
        <w:color w:val="000000" w:themeColor="text1"/>
        <w:sz w:val="22"/>
      </w:rPr>
    </w:lvl>
    <w:lvl w:ilvl="1">
      <w:start w:val="1"/>
      <w:numFmt w:val="decimal"/>
      <w:pStyle w:val="StandardElement"/>
      <w:lvlText w:val="%1.%2."/>
      <w:lvlJc w:val="left"/>
      <w:pPr>
        <w:ind w:left="716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  <w:specVanish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5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18"/>
  </w:num>
  <w:num w:numId="5">
    <w:abstractNumId w:val="6"/>
  </w:num>
  <w:num w:numId="6">
    <w:abstractNumId w:val="17"/>
  </w:num>
  <w:num w:numId="7">
    <w:abstractNumId w:val="15"/>
  </w:num>
  <w:num w:numId="8">
    <w:abstractNumId w:val="9"/>
  </w:num>
  <w:num w:numId="9">
    <w:abstractNumId w:val="24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10"/>
  </w:num>
  <w:num w:numId="16">
    <w:abstractNumId w:val="16"/>
  </w:num>
  <w:num w:numId="17">
    <w:abstractNumId w:val="21"/>
  </w:num>
  <w:num w:numId="18">
    <w:abstractNumId w:val="20"/>
  </w:num>
  <w:num w:numId="19">
    <w:abstractNumId w:val="8"/>
  </w:num>
  <w:num w:numId="20">
    <w:abstractNumId w:val="7"/>
  </w:num>
  <w:num w:numId="21">
    <w:abstractNumId w:val="19"/>
  </w:num>
  <w:num w:numId="22">
    <w:abstractNumId w:val="11"/>
  </w:num>
  <w:num w:numId="23">
    <w:abstractNumId w:val="1"/>
  </w:num>
  <w:num w:numId="24">
    <w:abstractNumId w:val="13"/>
  </w:num>
  <w:num w:numId="25">
    <w:abstractNumId w:val="14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D6835C9-0CEA-4493-BB2D-2422EA262C0E}"/>
    <w:docVar w:name="dgnword-eventsink" w:val="246422248"/>
  </w:docVars>
  <w:rsids>
    <w:rsidRoot w:val="006A509F"/>
    <w:rsid w:val="00004C1D"/>
    <w:rsid w:val="00023864"/>
    <w:rsid w:val="000647FB"/>
    <w:rsid w:val="00087831"/>
    <w:rsid w:val="0009647E"/>
    <w:rsid w:val="000C2159"/>
    <w:rsid w:val="000D70E7"/>
    <w:rsid w:val="000E74D8"/>
    <w:rsid w:val="000F2CFE"/>
    <w:rsid w:val="00141D98"/>
    <w:rsid w:val="00166B90"/>
    <w:rsid w:val="00167DA4"/>
    <w:rsid w:val="001869B2"/>
    <w:rsid w:val="001A07B1"/>
    <w:rsid w:val="001C06B0"/>
    <w:rsid w:val="001D0280"/>
    <w:rsid w:val="001D4A66"/>
    <w:rsid w:val="001D682A"/>
    <w:rsid w:val="001E5349"/>
    <w:rsid w:val="002048C6"/>
    <w:rsid w:val="00252754"/>
    <w:rsid w:val="0026147E"/>
    <w:rsid w:val="002858F5"/>
    <w:rsid w:val="00292F58"/>
    <w:rsid w:val="002B08DC"/>
    <w:rsid w:val="002B2638"/>
    <w:rsid w:val="002D4C00"/>
    <w:rsid w:val="00300EF6"/>
    <w:rsid w:val="00327B58"/>
    <w:rsid w:val="00337620"/>
    <w:rsid w:val="003515A1"/>
    <w:rsid w:val="003B6E8A"/>
    <w:rsid w:val="00424B97"/>
    <w:rsid w:val="004B14D0"/>
    <w:rsid w:val="004C11F0"/>
    <w:rsid w:val="004D31B6"/>
    <w:rsid w:val="00501FAB"/>
    <w:rsid w:val="00511B2B"/>
    <w:rsid w:val="00537DD8"/>
    <w:rsid w:val="00547071"/>
    <w:rsid w:val="005613C4"/>
    <w:rsid w:val="005823A2"/>
    <w:rsid w:val="0058603F"/>
    <w:rsid w:val="0059207B"/>
    <w:rsid w:val="005C75C6"/>
    <w:rsid w:val="005D18D1"/>
    <w:rsid w:val="006216F9"/>
    <w:rsid w:val="0062269F"/>
    <w:rsid w:val="0062454C"/>
    <w:rsid w:val="00633F69"/>
    <w:rsid w:val="00645466"/>
    <w:rsid w:val="006A4D5C"/>
    <w:rsid w:val="006A509F"/>
    <w:rsid w:val="006E19F4"/>
    <w:rsid w:val="006E3FCC"/>
    <w:rsid w:val="006E4EBA"/>
    <w:rsid w:val="006E61DB"/>
    <w:rsid w:val="007219D7"/>
    <w:rsid w:val="00722E95"/>
    <w:rsid w:val="00734CF8"/>
    <w:rsid w:val="00741991"/>
    <w:rsid w:val="007A5442"/>
    <w:rsid w:val="007A7116"/>
    <w:rsid w:val="007E10B7"/>
    <w:rsid w:val="007E1A39"/>
    <w:rsid w:val="007E46D0"/>
    <w:rsid w:val="007F0560"/>
    <w:rsid w:val="007F0D67"/>
    <w:rsid w:val="007F2807"/>
    <w:rsid w:val="00814558"/>
    <w:rsid w:val="008317E2"/>
    <w:rsid w:val="008415BA"/>
    <w:rsid w:val="0085255D"/>
    <w:rsid w:val="00857347"/>
    <w:rsid w:val="008D58C9"/>
    <w:rsid w:val="00931082"/>
    <w:rsid w:val="00981AD6"/>
    <w:rsid w:val="00994186"/>
    <w:rsid w:val="009E1CD6"/>
    <w:rsid w:val="00A6053F"/>
    <w:rsid w:val="00A760F6"/>
    <w:rsid w:val="00AF7802"/>
    <w:rsid w:val="00B12EDF"/>
    <w:rsid w:val="00B16E8A"/>
    <w:rsid w:val="00B2282F"/>
    <w:rsid w:val="00B54FCD"/>
    <w:rsid w:val="00BA22C2"/>
    <w:rsid w:val="00BD0DFC"/>
    <w:rsid w:val="00BE4EE7"/>
    <w:rsid w:val="00C13868"/>
    <w:rsid w:val="00C30B2D"/>
    <w:rsid w:val="00C67349"/>
    <w:rsid w:val="00CB227D"/>
    <w:rsid w:val="00D5776E"/>
    <w:rsid w:val="00D67992"/>
    <w:rsid w:val="00DC621B"/>
    <w:rsid w:val="00DF042B"/>
    <w:rsid w:val="00E041F9"/>
    <w:rsid w:val="00E077F5"/>
    <w:rsid w:val="00E15B80"/>
    <w:rsid w:val="00ED1E21"/>
    <w:rsid w:val="00F143ED"/>
    <w:rsid w:val="00F35176"/>
    <w:rsid w:val="00F96DB8"/>
    <w:rsid w:val="00FA0B0C"/>
    <w:rsid w:val="00FA15C1"/>
    <w:rsid w:val="00FA6E12"/>
    <w:rsid w:val="00FC6705"/>
    <w:rsid w:val="00FD43B7"/>
    <w:rsid w:val="00FD6215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6899E13"/>
  <w15:chartTrackingRefBased/>
  <w15:docId w15:val="{59D16639-92A2-4CCD-B526-C0D758EE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E21"/>
  </w:style>
  <w:style w:type="paragraph" w:styleId="Heading1">
    <w:name w:val="heading 1"/>
    <w:basedOn w:val="Normal"/>
    <w:next w:val="Normal"/>
    <w:link w:val="Heading1Char"/>
    <w:uiPriority w:val="9"/>
    <w:qFormat/>
    <w:rsid w:val="002858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6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D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ListParagraph"/>
    <w:qFormat/>
    <w:rsid w:val="007F0560"/>
    <w:pPr>
      <w:numPr>
        <w:numId w:val="1"/>
      </w:numPr>
      <w:tabs>
        <w:tab w:val="num" w:pos="360"/>
        <w:tab w:val="left" w:pos="1418"/>
      </w:tabs>
      <w:spacing w:before="600" w:after="120" w:line="240" w:lineRule="auto"/>
      <w:ind w:left="4897" w:firstLine="0"/>
      <w:contextualSpacing w:val="0"/>
    </w:pPr>
    <w:rPr>
      <w:rFonts w:ascii="Arial" w:eastAsia="Calibri" w:hAnsi="Arial" w:cs="Times New Roman"/>
      <w:b/>
    </w:rPr>
  </w:style>
  <w:style w:type="paragraph" w:customStyle="1" w:styleId="StandardElement">
    <w:name w:val="Standard Element"/>
    <w:basedOn w:val="Standard"/>
    <w:qFormat/>
    <w:rsid w:val="007F0560"/>
    <w:pPr>
      <w:numPr>
        <w:ilvl w:val="1"/>
      </w:numPr>
      <w:tabs>
        <w:tab w:val="num" w:pos="360"/>
      </w:tabs>
      <w:spacing w:before="120"/>
    </w:pPr>
    <w:rPr>
      <w:b w:val="0"/>
    </w:rPr>
  </w:style>
  <w:style w:type="paragraph" w:customStyle="1" w:styleId="StandardElementAlpha">
    <w:name w:val="Standard Element Alpha"/>
    <w:basedOn w:val="ListNumber3"/>
    <w:qFormat/>
    <w:rsid w:val="007F0560"/>
    <w:pPr>
      <w:tabs>
        <w:tab w:val="left" w:pos="1134"/>
      </w:tabs>
      <w:spacing w:before="120" w:after="120" w:line="240" w:lineRule="auto"/>
      <w:ind w:left="0" w:firstLine="0"/>
      <w:contextualSpacing w:val="0"/>
    </w:pPr>
    <w:rPr>
      <w:rFonts w:ascii="Arial" w:eastAsia="Calibri" w:hAnsi="Arial" w:cs="Times New Roman"/>
    </w:rPr>
  </w:style>
  <w:style w:type="paragraph" w:customStyle="1" w:styleId="StandardElementRoman">
    <w:name w:val="Standard Element Roman"/>
    <w:basedOn w:val="ListNumber4"/>
    <w:qFormat/>
    <w:rsid w:val="007F0560"/>
    <w:pPr>
      <w:tabs>
        <w:tab w:val="num" w:pos="360"/>
      </w:tabs>
      <w:spacing w:before="120" w:after="120" w:line="240" w:lineRule="auto"/>
      <w:contextualSpacing w:val="0"/>
    </w:pPr>
    <w:rPr>
      <w:rFonts w:ascii="Arial" w:eastAsia="Calibri" w:hAnsi="Arial" w:cs="Times New Roman"/>
    </w:rPr>
  </w:style>
  <w:style w:type="paragraph" w:styleId="ListParagraph">
    <w:name w:val="List Paragraph"/>
    <w:basedOn w:val="Normal"/>
    <w:uiPriority w:val="34"/>
    <w:qFormat/>
    <w:rsid w:val="007F0560"/>
    <w:pPr>
      <w:ind w:left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7F0560"/>
    <w:pPr>
      <w:ind w:left="1211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7F0560"/>
    <w:pPr>
      <w:ind w:left="1637" w:hanging="360"/>
      <w:contextualSpacing/>
    </w:pPr>
  </w:style>
  <w:style w:type="character" w:styleId="Hyperlink">
    <w:name w:val="Hyperlink"/>
    <w:basedOn w:val="DefaultParagraphFont"/>
    <w:uiPriority w:val="99"/>
    <w:unhideWhenUsed/>
    <w:rsid w:val="00E15B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B80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F96DB8"/>
    <w:pPr>
      <w:numPr>
        <w:numId w:val="7"/>
      </w:numPr>
      <w:spacing w:before="120" w:after="120" w:line="240" w:lineRule="auto"/>
    </w:pPr>
    <w:rPr>
      <w:rFonts w:ascii="Arial" w:eastAsia="Times New Roman" w:hAnsi="Arial" w:cs="Arial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858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C21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C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159"/>
  </w:style>
  <w:style w:type="paragraph" w:styleId="Footer">
    <w:name w:val="footer"/>
    <w:basedOn w:val="Normal"/>
    <w:link w:val="FooterChar"/>
    <w:uiPriority w:val="99"/>
    <w:unhideWhenUsed/>
    <w:rsid w:val="000C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159"/>
  </w:style>
  <w:style w:type="table" w:styleId="GridTable4-Accent5">
    <w:name w:val="Grid Table 4 Accent 5"/>
    <w:basedOn w:val="TableNormal"/>
    <w:uiPriority w:val="49"/>
    <w:rsid w:val="008415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1"/>
    <w:rsid w:val="007F0D6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1F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7E46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19">
    <w:name w:val="Pa19"/>
    <w:basedOn w:val="Normal"/>
    <w:next w:val="Normal"/>
    <w:uiPriority w:val="99"/>
    <w:rsid w:val="00300EF6"/>
    <w:pPr>
      <w:autoSpaceDE w:val="0"/>
      <w:autoSpaceDN w:val="0"/>
      <w:adjustRightInd w:val="0"/>
      <w:spacing w:after="0" w:line="201" w:lineRule="atLeast"/>
    </w:pPr>
    <w:rPr>
      <w:rFonts w:ascii="Neo Sans Std Medium" w:hAnsi="Neo Sans Std Medium"/>
      <w:sz w:val="24"/>
      <w:szCs w:val="24"/>
    </w:rPr>
  </w:style>
  <w:style w:type="paragraph" w:customStyle="1" w:styleId="Default">
    <w:name w:val="Default"/>
    <w:rsid w:val="00300EF6"/>
    <w:pPr>
      <w:autoSpaceDE w:val="0"/>
      <w:autoSpaceDN w:val="0"/>
      <w:adjustRightInd w:val="0"/>
      <w:spacing w:after="0" w:line="240" w:lineRule="auto"/>
    </w:pPr>
    <w:rPr>
      <w:rFonts w:ascii="Neo Sans Std Medium" w:hAnsi="Neo Sans Std Medium" w:cs="Neo Sans Std Medium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300EF6"/>
    <w:pPr>
      <w:spacing w:line="19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00EF6"/>
    <w:rPr>
      <w:rFonts w:ascii="Neo Sans Std Light" w:hAnsi="Neo Sans Std Light" w:cs="Neo Sans Std Light"/>
      <w:color w:val="000000"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A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tpointlast">
    <w:name w:val="Dot point last"/>
    <w:basedOn w:val="Normal"/>
    <w:rsid w:val="006A509F"/>
    <w:pPr>
      <w:numPr>
        <w:numId w:val="24"/>
      </w:numPr>
      <w:spacing w:after="22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2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6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2638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F6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\Dropbox\Templates\PICAC\PICAC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E0EAFC7E07A4E9CB48A6413D92C19" ma:contentTypeVersion="4" ma:contentTypeDescription="Create a new document." ma:contentTypeScope="" ma:versionID="a652514ebad743a5af1224e975b9d353">
  <xsd:schema xmlns:xsd="http://www.w3.org/2001/XMLSchema" xmlns:xs="http://www.w3.org/2001/XMLSchema" xmlns:p="http://schemas.microsoft.com/office/2006/metadata/properties" xmlns:ns2="a2341ad8-ef69-4537-9bb1-6b4cc96d198f" targetNamespace="http://schemas.microsoft.com/office/2006/metadata/properties" ma:root="true" ma:fieldsID="365d3e10578d7dde0ea62e00e34b4325" ns2:_="">
    <xsd:import namespace="a2341ad8-ef69-4537-9bb1-6b4cc96d1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41ad8-ef69-4537-9bb1-6b4cc96d1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CE0751-EE23-47E0-B326-1ECB9A0E6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2EBC50-F68A-46E1-A31D-6C0F47819A3B}"/>
</file>

<file path=customXml/itemProps3.xml><?xml version="1.0" encoding="utf-8"?>
<ds:datastoreItem xmlns:ds="http://schemas.openxmlformats.org/officeDocument/2006/customXml" ds:itemID="{22082F33-BC43-4D63-A3D0-0FFBBC89FE84}"/>
</file>

<file path=customXml/itemProps4.xml><?xml version="1.0" encoding="utf-8"?>
<ds:datastoreItem xmlns:ds="http://schemas.openxmlformats.org/officeDocument/2006/customXml" ds:itemID="{FF4950D3-8B08-4833-A602-C975A05499C8}"/>
</file>

<file path=docProps/app.xml><?xml version="1.0" encoding="utf-8"?>
<Properties xmlns="http://schemas.openxmlformats.org/officeDocument/2006/extended-properties" xmlns:vt="http://schemas.openxmlformats.org/officeDocument/2006/docPropsVTypes">
  <Template>PICAC Policy</Template>
  <TotalTime>204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Richardson</dc:creator>
  <cp:keywords/>
  <dc:description/>
  <cp:lastModifiedBy>Mirjana Obradovic</cp:lastModifiedBy>
  <cp:revision>39</cp:revision>
  <cp:lastPrinted>2018-07-10T03:52:00Z</cp:lastPrinted>
  <dcterms:created xsi:type="dcterms:W3CDTF">2017-08-29T01:38:00Z</dcterms:created>
  <dcterms:modified xsi:type="dcterms:W3CDTF">2021-11-05T00:11:00Z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TOLong">
    <vt:lpwstr>Plumbing Industry Climate Action Centre (PICAC) Ltd</vt:lpwstr>
  </property>
  <property fmtid="{D5CDD505-2E9C-101B-9397-08002B2CF9AE}" pid="3" name="RTOShort">
    <vt:lpwstr>TSTCA</vt:lpwstr>
  </property>
  <property fmtid="{D5CDD505-2E9C-101B-9397-08002B2CF9AE}" pid="4" name="TOID">
    <vt:lpwstr>22556</vt:lpwstr>
  </property>
  <property fmtid="{D5CDD505-2E9C-101B-9397-08002B2CF9AE}" pid="5" name="SectionTitle">
    <vt:lpwstr>E4 Refunds and Cancellation</vt:lpwstr>
  </property>
  <property fmtid="{D5CDD505-2E9C-101B-9397-08002B2CF9AE}" pid="6" name="Pillar">
    <vt:lpwstr>Enrolment</vt:lpwstr>
  </property>
  <property fmtid="{D5CDD505-2E9C-101B-9397-08002B2CF9AE}" pid="7" name="ContentTypeId">
    <vt:lpwstr>0x010100A91E0EAFC7E07A4E9CB48A6413D92C19</vt:lpwstr>
  </property>
</Properties>
</file>